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附件2</w:t>
      </w:r>
    </w:p>
    <w:p>
      <w:pPr>
        <w:jc w:val="center"/>
        <w:rPr>
          <w:rFonts w:hint="eastAsia" w:ascii="方正小标宋简体" w:eastAsia="方正小标宋简体"/>
          <w:sz w:val="36"/>
          <w:szCs w:val="36"/>
        </w:rPr>
      </w:pPr>
      <w:r>
        <w:rPr>
          <w:rFonts w:hint="eastAsia" w:ascii="方正小标宋简体" w:eastAsia="方正小标宋简体"/>
          <w:sz w:val="36"/>
          <w:szCs w:val="36"/>
        </w:rPr>
        <w:t>农业部2017年度加强农产品质量安全监管延伸绩效管理指标体系</w:t>
      </w:r>
    </w:p>
    <w:tbl>
      <w:tblPr>
        <w:tblStyle w:val="3"/>
        <w:tblpPr w:leftFromText="180" w:rightFromText="180" w:vertAnchor="text" w:tblpX="93" w:tblpY="1"/>
        <w:tblOverlap w:val="never"/>
        <w:tblW w:w="14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582"/>
        <w:gridCol w:w="1341"/>
        <w:gridCol w:w="607"/>
        <w:gridCol w:w="5948"/>
        <w:gridCol w:w="463"/>
        <w:gridCol w:w="463"/>
        <w:gridCol w:w="440"/>
        <w:gridCol w:w="486"/>
        <w:gridCol w:w="2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exact"/>
          <w:tblHeader/>
        </w:trPr>
        <w:tc>
          <w:tcPr>
            <w:tcW w:w="1276" w:type="dxa"/>
            <w:vMerge w:val="restart"/>
            <w:vAlign w:val="center"/>
          </w:tcPr>
          <w:p>
            <w:pPr>
              <w:widowControl/>
              <w:jc w:val="center"/>
              <w:rPr>
                <w:rFonts w:ascii="宋体" w:hAnsi="宋体" w:cs="Arial"/>
                <w:b/>
                <w:bCs/>
                <w:kern w:val="0"/>
                <w:sz w:val="20"/>
              </w:rPr>
            </w:pPr>
            <w:r>
              <w:rPr>
                <w:rFonts w:hint="eastAsia" w:ascii="宋体" w:hAnsi="宋体" w:cs="Arial"/>
                <w:b/>
                <w:bCs/>
                <w:kern w:val="0"/>
                <w:sz w:val="20"/>
              </w:rPr>
              <w:t>一级指标</w:t>
            </w:r>
          </w:p>
        </w:tc>
        <w:tc>
          <w:tcPr>
            <w:tcW w:w="582" w:type="dxa"/>
            <w:vMerge w:val="restart"/>
            <w:vAlign w:val="center"/>
          </w:tcPr>
          <w:p>
            <w:pPr>
              <w:widowControl/>
              <w:jc w:val="center"/>
              <w:rPr>
                <w:rFonts w:ascii="宋体" w:hAnsi="宋体" w:cs="Arial"/>
                <w:b/>
                <w:bCs/>
                <w:kern w:val="0"/>
                <w:sz w:val="20"/>
              </w:rPr>
            </w:pPr>
            <w:r>
              <w:rPr>
                <w:rFonts w:hint="eastAsia" w:ascii="宋体" w:hAnsi="宋体" w:cs="Arial"/>
                <w:b/>
                <w:bCs/>
                <w:kern w:val="0"/>
                <w:sz w:val="20"/>
              </w:rPr>
              <w:t>分值</w:t>
            </w:r>
          </w:p>
        </w:tc>
        <w:tc>
          <w:tcPr>
            <w:tcW w:w="1341" w:type="dxa"/>
            <w:vMerge w:val="restart"/>
            <w:vAlign w:val="center"/>
          </w:tcPr>
          <w:p>
            <w:pPr>
              <w:widowControl/>
              <w:jc w:val="center"/>
              <w:rPr>
                <w:rFonts w:ascii="宋体" w:hAnsi="宋体" w:cs="Arial"/>
                <w:b/>
                <w:bCs/>
                <w:kern w:val="0"/>
                <w:sz w:val="20"/>
              </w:rPr>
            </w:pPr>
            <w:r>
              <w:rPr>
                <w:rFonts w:hint="eastAsia" w:ascii="宋体" w:hAnsi="宋体" w:cs="Arial"/>
                <w:b/>
                <w:bCs/>
                <w:kern w:val="0"/>
                <w:sz w:val="20"/>
              </w:rPr>
              <w:t>二级指标</w:t>
            </w:r>
          </w:p>
        </w:tc>
        <w:tc>
          <w:tcPr>
            <w:tcW w:w="607" w:type="dxa"/>
            <w:vMerge w:val="restart"/>
            <w:vAlign w:val="center"/>
          </w:tcPr>
          <w:p>
            <w:pPr>
              <w:widowControl/>
              <w:jc w:val="center"/>
              <w:rPr>
                <w:rFonts w:ascii="宋体" w:hAnsi="宋体" w:cs="Arial"/>
                <w:b/>
                <w:bCs/>
                <w:kern w:val="0"/>
                <w:sz w:val="20"/>
              </w:rPr>
            </w:pPr>
            <w:r>
              <w:rPr>
                <w:rFonts w:hint="eastAsia" w:ascii="宋体" w:hAnsi="宋体" w:cs="Arial"/>
                <w:b/>
                <w:bCs/>
                <w:kern w:val="0"/>
                <w:sz w:val="20"/>
              </w:rPr>
              <w:t>分值</w:t>
            </w:r>
          </w:p>
        </w:tc>
        <w:tc>
          <w:tcPr>
            <w:tcW w:w="5948" w:type="dxa"/>
            <w:vMerge w:val="restart"/>
            <w:vAlign w:val="center"/>
          </w:tcPr>
          <w:p>
            <w:pPr>
              <w:widowControl/>
              <w:jc w:val="center"/>
              <w:rPr>
                <w:rFonts w:ascii="宋体" w:hAnsi="宋体" w:cs="Arial"/>
                <w:b/>
                <w:bCs/>
                <w:kern w:val="0"/>
                <w:sz w:val="20"/>
              </w:rPr>
            </w:pPr>
            <w:r>
              <w:rPr>
                <w:rFonts w:hint="eastAsia" w:ascii="宋体" w:hAnsi="宋体" w:cs="Arial"/>
                <w:b/>
                <w:bCs/>
                <w:kern w:val="0"/>
                <w:sz w:val="20"/>
              </w:rPr>
              <w:t>评分标准</w:t>
            </w:r>
          </w:p>
        </w:tc>
        <w:tc>
          <w:tcPr>
            <w:tcW w:w="1366" w:type="dxa"/>
            <w:gridSpan w:val="3"/>
            <w:vAlign w:val="center"/>
          </w:tcPr>
          <w:p>
            <w:pPr>
              <w:widowControl/>
              <w:adjustRightInd w:val="0"/>
              <w:snapToGrid w:val="0"/>
              <w:jc w:val="center"/>
              <w:rPr>
                <w:rFonts w:ascii="宋体" w:hAnsi="宋体" w:cs="Arial"/>
                <w:b/>
                <w:bCs/>
                <w:kern w:val="0"/>
                <w:sz w:val="20"/>
              </w:rPr>
            </w:pPr>
            <w:r>
              <w:rPr>
                <w:rFonts w:hint="eastAsia" w:ascii="宋体" w:hAnsi="宋体" w:cs="Arial"/>
                <w:b/>
                <w:bCs/>
                <w:kern w:val="0"/>
                <w:sz w:val="20"/>
              </w:rPr>
              <w:t>自评</w:t>
            </w:r>
          </w:p>
        </w:tc>
        <w:tc>
          <w:tcPr>
            <w:tcW w:w="486" w:type="dxa"/>
            <w:vMerge w:val="restart"/>
            <w:vAlign w:val="center"/>
          </w:tcPr>
          <w:p>
            <w:pPr>
              <w:widowControl/>
              <w:jc w:val="center"/>
              <w:rPr>
                <w:rFonts w:ascii="宋体" w:hAnsi="宋体" w:cs="Arial"/>
                <w:b/>
                <w:bCs/>
                <w:kern w:val="0"/>
                <w:sz w:val="20"/>
              </w:rPr>
            </w:pPr>
            <w:r>
              <w:rPr>
                <w:rFonts w:hint="eastAsia" w:ascii="宋体" w:hAnsi="宋体" w:cs="Arial"/>
                <w:b/>
                <w:bCs/>
                <w:kern w:val="0"/>
                <w:sz w:val="20"/>
              </w:rPr>
              <w:t>自评依据　</w:t>
            </w:r>
          </w:p>
        </w:tc>
        <w:tc>
          <w:tcPr>
            <w:tcW w:w="2474" w:type="dxa"/>
            <w:vMerge w:val="restart"/>
            <w:vAlign w:val="center"/>
          </w:tcPr>
          <w:p>
            <w:pPr>
              <w:widowControl/>
              <w:jc w:val="center"/>
              <w:rPr>
                <w:rFonts w:ascii="宋体" w:hAnsi="宋体" w:cs="Arial"/>
                <w:b/>
                <w:bCs/>
                <w:kern w:val="0"/>
                <w:sz w:val="20"/>
              </w:rPr>
            </w:pPr>
            <w:r>
              <w:rPr>
                <w:rFonts w:hint="eastAsia" w:ascii="宋体" w:hAnsi="宋体" w:cs="Arial"/>
                <w:b/>
                <w:bCs/>
                <w:kern w:val="0"/>
                <w:sz w:val="20"/>
              </w:rPr>
              <w:t>考核依据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blHeader/>
        </w:trPr>
        <w:tc>
          <w:tcPr>
            <w:tcW w:w="1276" w:type="dxa"/>
            <w:vMerge w:val="continue"/>
            <w:vAlign w:val="center"/>
          </w:tcPr>
          <w:p>
            <w:pPr>
              <w:widowControl/>
              <w:jc w:val="center"/>
              <w:rPr>
                <w:rFonts w:hint="eastAsia" w:ascii="宋体" w:hAnsi="宋体" w:cs="Arial"/>
                <w:b/>
                <w:bCs/>
                <w:kern w:val="0"/>
                <w:sz w:val="20"/>
              </w:rPr>
            </w:pPr>
          </w:p>
        </w:tc>
        <w:tc>
          <w:tcPr>
            <w:tcW w:w="582" w:type="dxa"/>
            <w:vMerge w:val="continue"/>
            <w:vAlign w:val="center"/>
          </w:tcPr>
          <w:p>
            <w:pPr>
              <w:widowControl/>
              <w:jc w:val="center"/>
              <w:rPr>
                <w:rFonts w:hint="eastAsia" w:ascii="宋体" w:hAnsi="宋体" w:cs="Arial"/>
                <w:b/>
                <w:bCs/>
                <w:kern w:val="0"/>
                <w:sz w:val="20"/>
              </w:rPr>
            </w:pPr>
          </w:p>
        </w:tc>
        <w:tc>
          <w:tcPr>
            <w:tcW w:w="1341" w:type="dxa"/>
            <w:vMerge w:val="continue"/>
            <w:vAlign w:val="center"/>
          </w:tcPr>
          <w:p>
            <w:pPr>
              <w:widowControl/>
              <w:jc w:val="center"/>
              <w:rPr>
                <w:rFonts w:hint="eastAsia" w:ascii="宋体" w:hAnsi="宋体" w:cs="Arial"/>
                <w:b/>
                <w:bCs/>
                <w:kern w:val="0"/>
                <w:sz w:val="20"/>
              </w:rPr>
            </w:pPr>
          </w:p>
        </w:tc>
        <w:tc>
          <w:tcPr>
            <w:tcW w:w="607" w:type="dxa"/>
            <w:vMerge w:val="continue"/>
            <w:vAlign w:val="center"/>
          </w:tcPr>
          <w:p>
            <w:pPr>
              <w:widowControl/>
              <w:jc w:val="center"/>
              <w:rPr>
                <w:rFonts w:hint="eastAsia" w:ascii="宋体" w:hAnsi="宋体" w:cs="Arial"/>
                <w:b/>
                <w:bCs/>
                <w:kern w:val="0"/>
                <w:sz w:val="20"/>
              </w:rPr>
            </w:pPr>
          </w:p>
        </w:tc>
        <w:tc>
          <w:tcPr>
            <w:tcW w:w="5948" w:type="dxa"/>
            <w:vMerge w:val="continue"/>
            <w:vAlign w:val="center"/>
          </w:tcPr>
          <w:p>
            <w:pPr>
              <w:widowControl/>
              <w:jc w:val="center"/>
              <w:rPr>
                <w:rFonts w:hint="eastAsia" w:ascii="宋体" w:hAnsi="宋体" w:cs="Arial"/>
                <w:b/>
                <w:bCs/>
                <w:kern w:val="0"/>
                <w:sz w:val="20"/>
              </w:rPr>
            </w:pPr>
          </w:p>
        </w:tc>
        <w:tc>
          <w:tcPr>
            <w:tcW w:w="463" w:type="dxa"/>
            <w:vAlign w:val="center"/>
          </w:tcPr>
          <w:p>
            <w:pPr>
              <w:widowControl/>
              <w:jc w:val="center"/>
              <w:rPr>
                <w:rFonts w:hint="eastAsia" w:ascii="宋体" w:hAnsi="宋体" w:cs="Arial"/>
                <w:b/>
                <w:bCs/>
                <w:kern w:val="0"/>
                <w:sz w:val="20"/>
              </w:rPr>
            </w:pPr>
            <w:r>
              <w:rPr>
                <w:rFonts w:hint="eastAsia" w:ascii="宋体" w:hAnsi="宋体" w:cs="Arial"/>
                <w:b/>
                <w:bCs/>
                <w:kern w:val="0"/>
                <w:sz w:val="20"/>
              </w:rPr>
              <w:t>基础分</w:t>
            </w:r>
          </w:p>
        </w:tc>
        <w:tc>
          <w:tcPr>
            <w:tcW w:w="463" w:type="dxa"/>
            <w:vAlign w:val="center"/>
          </w:tcPr>
          <w:p>
            <w:pPr>
              <w:widowControl/>
              <w:jc w:val="center"/>
              <w:rPr>
                <w:rFonts w:hint="eastAsia" w:ascii="宋体" w:hAnsi="宋体" w:cs="Arial"/>
                <w:b/>
                <w:bCs/>
                <w:kern w:val="0"/>
                <w:sz w:val="20"/>
              </w:rPr>
            </w:pPr>
            <w:r>
              <w:rPr>
                <w:rFonts w:hint="eastAsia" w:ascii="宋体" w:hAnsi="宋体" w:cs="Arial"/>
                <w:b/>
                <w:bCs/>
                <w:kern w:val="0"/>
                <w:sz w:val="20"/>
              </w:rPr>
              <w:t>效果分</w:t>
            </w:r>
          </w:p>
        </w:tc>
        <w:tc>
          <w:tcPr>
            <w:tcW w:w="440" w:type="dxa"/>
            <w:vAlign w:val="center"/>
          </w:tcPr>
          <w:p>
            <w:pPr>
              <w:widowControl/>
              <w:jc w:val="center"/>
              <w:rPr>
                <w:rFonts w:hint="eastAsia" w:ascii="宋体" w:hAnsi="宋体" w:cs="Arial"/>
                <w:b/>
                <w:bCs/>
                <w:kern w:val="0"/>
                <w:sz w:val="20"/>
              </w:rPr>
            </w:pPr>
            <w:r>
              <w:rPr>
                <w:rFonts w:hint="eastAsia" w:ascii="宋体" w:hAnsi="宋体" w:cs="Arial"/>
                <w:b/>
                <w:bCs/>
                <w:kern w:val="0"/>
                <w:sz w:val="20"/>
              </w:rPr>
              <w:t>得</w:t>
            </w:r>
          </w:p>
          <w:p>
            <w:pPr>
              <w:widowControl/>
              <w:jc w:val="center"/>
              <w:rPr>
                <w:rFonts w:hint="eastAsia" w:ascii="宋体" w:hAnsi="宋体" w:cs="Arial"/>
                <w:b/>
                <w:bCs/>
                <w:kern w:val="0"/>
                <w:sz w:val="20"/>
              </w:rPr>
            </w:pPr>
            <w:r>
              <w:rPr>
                <w:rFonts w:hint="eastAsia" w:ascii="宋体" w:hAnsi="宋体" w:cs="Arial"/>
                <w:b/>
                <w:bCs/>
                <w:kern w:val="0"/>
                <w:sz w:val="20"/>
              </w:rPr>
              <w:t xml:space="preserve">   </w:t>
            </w:r>
          </w:p>
          <w:p>
            <w:pPr>
              <w:widowControl/>
              <w:jc w:val="center"/>
              <w:rPr>
                <w:rFonts w:hint="eastAsia" w:ascii="宋体" w:hAnsi="宋体" w:cs="Arial"/>
                <w:b/>
                <w:bCs/>
                <w:kern w:val="0"/>
                <w:sz w:val="20"/>
              </w:rPr>
            </w:pPr>
            <w:r>
              <w:rPr>
                <w:rFonts w:hint="eastAsia" w:ascii="宋体" w:hAnsi="宋体" w:cs="Arial"/>
                <w:b/>
                <w:bCs/>
                <w:kern w:val="0"/>
                <w:sz w:val="20"/>
              </w:rPr>
              <w:t>分</w:t>
            </w:r>
          </w:p>
        </w:tc>
        <w:tc>
          <w:tcPr>
            <w:tcW w:w="486" w:type="dxa"/>
            <w:vMerge w:val="continue"/>
            <w:vAlign w:val="center"/>
          </w:tcPr>
          <w:p>
            <w:pPr>
              <w:widowControl/>
              <w:jc w:val="center"/>
              <w:rPr>
                <w:rFonts w:hint="eastAsia" w:ascii="宋体" w:hAnsi="宋体" w:cs="Arial"/>
                <w:b/>
                <w:bCs/>
                <w:kern w:val="0"/>
                <w:sz w:val="20"/>
              </w:rPr>
            </w:pPr>
          </w:p>
        </w:tc>
        <w:tc>
          <w:tcPr>
            <w:tcW w:w="2474" w:type="dxa"/>
            <w:vMerge w:val="continue"/>
            <w:vAlign w:val="center"/>
          </w:tcPr>
          <w:p>
            <w:pPr>
              <w:widowControl/>
              <w:jc w:val="center"/>
              <w:rPr>
                <w:rFonts w:hint="eastAsia" w:ascii="宋体" w:hAnsi="宋体" w:cs="Arial"/>
                <w:b/>
                <w:bCs/>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7" w:hRule="atLeast"/>
          <w:tblHeader/>
        </w:trPr>
        <w:tc>
          <w:tcPr>
            <w:tcW w:w="1276" w:type="dxa"/>
            <w:vMerge w:val="restart"/>
            <w:vAlign w:val="center"/>
          </w:tcPr>
          <w:p>
            <w:pPr>
              <w:widowControl/>
              <w:jc w:val="left"/>
              <w:rPr>
                <w:rFonts w:ascii="宋体" w:hAnsi="宋体" w:cs="Arial"/>
                <w:kern w:val="0"/>
                <w:sz w:val="20"/>
              </w:rPr>
            </w:pPr>
            <w:r>
              <w:rPr>
                <w:rFonts w:hint="eastAsia" w:ascii="宋体" w:hAnsi="宋体" w:cs="Arial"/>
                <w:kern w:val="0"/>
                <w:sz w:val="20"/>
              </w:rPr>
              <w:t>一、加强延伸绩效管理工作责任落实和政策保障</w:t>
            </w:r>
          </w:p>
        </w:tc>
        <w:tc>
          <w:tcPr>
            <w:tcW w:w="582" w:type="dxa"/>
            <w:vMerge w:val="restart"/>
            <w:vAlign w:val="center"/>
          </w:tcPr>
          <w:p>
            <w:pPr>
              <w:widowControl/>
              <w:jc w:val="center"/>
              <w:rPr>
                <w:rFonts w:ascii="Arial" w:hAnsi="Arial" w:cs="Arial"/>
                <w:kern w:val="0"/>
                <w:sz w:val="20"/>
              </w:rPr>
            </w:pPr>
            <w:r>
              <w:rPr>
                <w:rFonts w:ascii="Arial" w:hAnsi="Arial" w:cs="Arial"/>
                <w:kern w:val="0"/>
                <w:sz w:val="20"/>
              </w:rPr>
              <w:t>16</w:t>
            </w:r>
          </w:p>
        </w:tc>
        <w:tc>
          <w:tcPr>
            <w:tcW w:w="1341" w:type="dxa"/>
            <w:vAlign w:val="center"/>
          </w:tcPr>
          <w:p>
            <w:pPr>
              <w:widowControl/>
              <w:jc w:val="left"/>
              <w:rPr>
                <w:rFonts w:ascii="宋体" w:hAnsi="宋体" w:cs="Arial"/>
                <w:kern w:val="0"/>
                <w:sz w:val="20"/>
              </w:rPr>
            </w:pPr>
            <w:r>
              <w:rPr>
                <w:rFonts w:hint="eastAsia" w:ascii="宋体" w:hAnsi="宋体" w:cs="Arial"/>
                <w:kern w:val="0"/>
                <w:sz w:val="20"/>
              </w:rPr>
              <w:t>（一）落实属地责任</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1.将农产品质量安全纳入省级人民政府绩效管理考核范围，纳入得1分，未纳入不得分。2.采取措施推动地县级将农产品质量安全纳入人民政府考核范围，开展工作得1分，未开展不得分。3.省级人民政府对农产品质量安全工作进行部署，开展工作得1分，未开展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根据相关文件、通知、纪要等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7"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（二）健全工作机构</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1.成立省级加强农产品质量安全监管延伸绩效管理领导小组，由主要负责同志亲自抓，成立得1分，未成立不得分。2.省级领导小组积极履行职责并切实开展工作，开展工作得1分，未开展不得分。3.采取措施推动成立地县级农产品质量安全监管工作领导机构，开展工作得1分，未开展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根据相关文件、通知、纪要等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（三）制定实施方案</w:t>
            </w:r>
          </w:p>
        </w:tc>
        <w:tc>
          <w:tcPr>
            <w:tcW w:w="607" w:type="dxa"/>
            <w:vAlign w:val="center"/>
          </w:tcPr>
          <w:p>
            <w:pPr>
              <w:widowControl/>
              <w:jc w:val="center"/>
              <w:rPr>
                <w:rFonts w:ascii="Arial" w:hAnsi="Arial" w:cs="Arial"/>
                <w:kern w:val="0"/>
                <w:sz w:val="20"/>
              </w:rPr>
            </w:pPr>
            <w:r>
              <w:rPr>
                <w:rFonts w:ascii="Arial" w:hAnsi="Arial" w:cs="Arial"/>
                <w:kern w:val="0"/>
                <w:sz w:val="20"/>
              </w:rPr>
              <w:t>2</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制定农产品质量安全延伸绩效管理实施方案，制定得2分，未制定不得分。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根据具体实施方案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（四）强化过程督导</w:t>
            </w:r>
          </w:p>
        </w:tc>
        <w:tc>
          <w:tcPr>
            <w:tcW w:w="607" w:type="dxa"/>
            <w:vAlign w:val="center"/>
          </w:tcPr>
          <w:p>
            <w:pPr>
              <w:widowControl/>
              <w:jc w:val="center"/>
              <w:rPr>
                <w:rFonts w:ascii="Arial" w:hAnsi="Arial" w:cs="Arial"/>
                <w:kern w:val="0"/>
                <w:sz w:val="20"/>
              </w:rPr>
            </w:pPr>
            <w:r>
              <w:rPr>
                <w:rFonts w:ascii="Arial" w:hAnsi="Arial" w:cs="Arial"/>
                <w:kern w:val="0"/>
                <w:sz w:val="20"/>
              </w:rPr>
              <w:t>1</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强化动态管理，加强对延伸绩效管理工作的督导检查并进行阶段性总结。开展督导检查并进行阶段总结得1分，未开展不得分。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根据相关通知、总结等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（五）报送基本信息</w:t>
            </w:r>
          </w:p>
        </w:tc>
        <w:tc>
          <w:tcPr>
            <w:tcW w:w="607" w:type="dxa"/>
            <w:vAlign w:val="center"/>
          </w:tcPr>
          <w:p>
            <w:pPr>
              <w:widowControl/>
              <w:jc w:val="center"/>
              <w:rPr>
                <w:rFonts w:ascii="Arial" w:hAnsi="Arial" w:cs="Arial"/>
                <w:kern w:val="0"/>
                <w:sz w:val="20"/>
              </w:rPr>
            </w:pPr>
            <w:r>
              <w:rPr>
                <w:rFonts w:ascii="Arial" w:hAnsi="Arial" w:cs="Arial"/>
                <w:kern w:val="0"/>
                <w:sz w:val="20"/>
              </w:rPr>
              <w:t>2</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根据《关于加强农产品质量安全监管信息报送工作的通知》（农质综函[2016]第260号）要求，每季度按时报送《农产品质量安全基本情况数据统计表》，每按时报送1次得0.5分，最多得2分，逾期报送、未报送的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根据报送的统计表格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8"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（六）加强经费保障</w:t>
            </w:r>
          </w:p>
        </w:tc>
        <w:tc>
          <w:tcPr>
            <w:tcW w:w="607" w:type="dxa"/>
            <w:vAlign w:val="center"/>
          </w:tcPr>
          <w:p>
            <w:pPr>
              <w:widowControl/>
              <w:snapToGrid w:val="0"/>
              <w:spacing w:line="300" w:lineRule="exact"/>
              <w:jc w:val="center"/>
              <w:rPr>
                <w:rFonts w:ascii="Arial" w:hAnsi="Arial" w:cs="Arial"/>
                <w:kern w:val="0"/>
                <w:sz w:val="20"/>
              </w:rPr>
            </w:pPr>
            <w:r>
              <w:rPr>
                <w:rFonts w:ascii="Arial" w:hAnsi="Arial" w:cs="Arial"/>
                <w:kern w:val="0"/>
                <w:sz w:val="20"/>
              </w:rPr>
              <w:t>3</w:t>
            </w:r>
          </w:p>
        </w:tc>
        <w:tc>
          <w:tcPr>
            <w:tcW w:w="5948"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1.将农产品质量安全监管、监测、执法等工作经费纳入省级人民政府财政预算，纳入得1分，未纳入不得分。2.采取措施推动将农产品质量安全监管、监测、执法等工作经费纳入地县级人民政府财政预算，开展工作得1分，未开展不得分。3.省级农产品质量安全监管经费保持上一年度水平的，得基础满分1分。</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根据相关文件、通知等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（七）积极开拓创新</w:t>
            </w:r>
          </w:p>
        </w:tc>
        <w:tc>
          <w:tcPr>
            <w:tcW w:w="607" w:type="dxa"/>
            <w:vAlign w:val="center"/>
          </w:tcPr>
          <w:p>
            <w:pPr>
              <w:widowControl/>
              <w:snapToGrid w:val="0"/>
              <w:spacing w:line="300" w:lineRule="exact"/>
              <w:jc w:val="center"/>
              <w:rPr>
                <w:rFonts w:ascii="Arial" w:hAnsi="Arial" w:cs="Arial"/>
                <w:kern w:val="0"/>
                <w:sz w:val="20"/>
              </w:rPr>
            </w:pPr>
            <w:r>
              <w:rPr>
                <w:rFonts w:ascii="Arial" w:hAnsi="Arial" w:cs="Arial"/>
                <w:kern w:val="0"/>
                <w:sz w:val="20"/>
              </w:rPr>
              <w:t>2</w:t>
            </w:r>
          </w:p>
        </w:tc>
        <w:tc>
          <w:tcPr>
            <w:tcW w:w="5948"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在加强农产品质量安全监管方面出台地方政策、创新工作方法、取得工作成效有亮点的，每项加1分，最多加2分。</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根据相关文件、通知等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blHeader/>
        </w:trPr>
        <w:tc>
          <w:tcPr>
            <w:tcW w:w="1276" w:type="dxa"/>
            <w:vMerge w:val="restart"/>
            <w:vAlign w:val="center"/>
          </w:tcPr>
          <w:p>
            <w:pPr>
              <w:widowControl/>
              <w:jc w:val="left"/>
              <w:rPr>
                <w:rFonts w:ascii="宋体" w:hAnsi="宋体" w:cs="Arial"/>
                <w:kern w:val="0"/>
                <w:sz w:val="20"/>
              </w:rPr>
            </w:pPr>
            <w:r>
              <w:rPr>
                <w:rFonts w:hint="eastAsia" w:ascii="宋体" w:hAnsi="宋体" w:cs="Arial"/>
                <w:kern w:val="0"/>
                <w:sz w:val="20"/>
              </w:rPr>
              <w:t>二、加强农产品质量安全执法监管</w:t>
            </w:r>
          </w:p>
        </w:tc>
        <w:tc>
          <w:tcPr>
            <w:tcW w:w="582" w:type="dxa"/>
            <w:vMerge w:val="restart"/>
            <w:vAlign w:val="center"/>
          </w:tcPr>
          <w:p>
            <w:pPr>
              <w:widowControl/>
              <w:jc w:val="center"/>
              <w:rPr>
                <w:rFonts w:ascii="Arial" w:hAnsi="Arial" w:cs="Arial"/>
                <w:kern w:val="0"/>
                <w:sz w:val="20"/>
              </w:rPr>
            </w:pPr>
            <w:r>
              <w:rPr>
                <w:rFonts w:ascii="Arial" w:hAnsi="Arial" w:cs="Arial"/>
                <w:kern w:val="0"/>
                <w:sz w:val="20"/>
              </w:rPr>
              <w:t>18</w:t>
            </w:r>
          </w:p>
        </w:tc>
        <w:tc>
          <w:tcPr>
            <w:tcW w:w="1341"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（一）制定整治工作方案</w:t>
            </w:r>
          </w:p>
        </w:tc>
        <w:tc>
          <w:tcPr>
            <w:tcW w:w="607" w:type="dxa"/>
            <w:vAlign w:val="center"/>
          </w:tcPr>
          <w:p>
            <w:pPr>
              <w:widowControl/>
              <w:snapToGrid w:val="0"/>
              <w:spacing w:line="300" w:lineRule="exact"/>
              <w:jc w:val="center"/>
              <w:rPr>
                <w:rFonts w:ascii="Arial" w:hAnsi="Arial" w:cs="Arial"/>
                <w:kern w:val="0"/>
                <w:sz w:val="20"/>
              </w:rPr>
            </w:pPr>
            <w:r>
              <w:rPr>
                <w:rFonts w:ascii="Arial" w:hAnsi="Arial" w:cs="Arial"/>
                <w:kern w:val="0"/>
                <w:sz w:val="20"/>
              </w:rPr>
              <w:t>2</w:t>
            </w:r>
          </w:p>
        </w:tc>
        <w:tc>
          <w:tcPr>
            <w:tcW w:w="5948"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制定专项整治详细工作方案，有针对性开展整治，明确工作进度和时间安排，制定得2分，未制定不得分。</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根据具体方案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5"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（二）开展风险隐患排查和日常巡查检查工作</w:t>
            </w:r>
          </w:p>
        </w:tc>
        <w:tc>
          <w:tcPr>
            <w:tcW w:w="607" w:type="dxa"/>
            <w:vAlign w:val="center"/>
          </w:tcPr>
          <w:p>
            <w:pPr>
              <w:widowControl/>
              <w:snapToGrid w:val="0"/>
              <w:spacing w:line="300" w:lineRule="exact"/>
              <w:jc w:val="center"/>
              <w:rPr>
                <w:rFonts w:ascii="Arial" w:hAnsi="Arial" w:cs="Arial"/>
                <w:kern w:val="0"/>
                <w:sz w:val="20"/>
              </w:rPr>
            </w:pPr>
            <w:r>
              <w:rPr>
                <w:rFonts w:ascii="Arial" w:hAnsi="Arial" w:cs="Arial"/>
                <w:kern w:val="0"/>
                <w:sz w:val="20"/>
              </w:rPr>
              <w:t>3</w:t>
            </w:r>
          </w:p>
        </w:tc>
        <w:tc>
          <w:tcPr>
            <w:tcW w:w="5948"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1.建立和完善日常巡查检查制度，建立制度得1分，未建立不得分。2.根据风险监测和日常巡查结果，围绕重点行业、重点环节、重点领域、重点时段开展风险隐患排查，开展工作得1分，未开展不得分。3.督促生产企业、合作社、家庭农场、屠宰厂（场）落实禁限用规定、高毒农药定点经营实名购买、安全生产休药间隔期和生产档案记录4项制度，开展工作得1分，未开展不得分。</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根据相关文件、通知、检查记录、总结等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8"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（三）加大监督抽查力度</w:t>
            </w:r>
          </w:p>
        </w:tc>
        <w:tc>
          <w:tcPr>
            <w:tcW w:w="607" w:type="dxa"/>
            <w:vAlign w:val="center"/>
          </w:tcPr>
          <w:p>
            <w:pPr>
              <w:widowControl/>
              <w:snapToGrid w:val="0"/>
              <w:spacing w:line="300" w:lineRule="exact"/>
              <w:jc w:val="center"/>
              <w:rPr>
                <w:rFonts w:ascii="Arial" w:hAnsi="Arial" w:cs="Arial"/>
                <w:kern w:val="0"/>
                <w:sz w:val="20"/>
              </w:rPr>
            </w:pPr>
            <w:r>
              <w:rPr>
                <w:rFonts w:hint="eastAsia" w:ascii="Arial" w:hAnsi="Arial" w:cs="Arial"/>
                <w:kern w:val="0"/>
                <w:sz w:val="20"/>
              </w:rPr>
              <w:t>4</w:t>
            </w:r>
          </w:p>
        </w:tc>
        <w:tc>
          <w:tcPr>
            <w:tcW w:w="5948"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1.省级农业行政部门配合国家级或组织开展省级农产品质量安全监督抽查的，得1分，未开展不得分。2.发现含有禁限用物质的不合格样品，每个加0.2分，最高得2分。3.推动县级以上农业部门建立生产企业、合作社、家庭农场、屠宰厂（场）等规模生产经营主体监管名录，建立名录得1分，未建立不得分。</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根据相关文件、通知、检查记录、记录档案、总结、移交单等，并参考纪检部门、举报和舆情信息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0"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（四）狠抓执法办案</w:t>
            </w:r>
          </w:p>
        </w:tc>
        <w:tc>
          <w:tcPr>
            <w:tcW w:w="607" w:type="dxa"/>
            <w:vAlign w:val="center"/>
          </w:tcPr>
          <w:p>
            <w:pPr>
              <w:widowControl/>
              <w:snapToGrid w:val="0"/>
              <w:spacing w:line="300" w:lineRule="exact"/>
              <w:jc w:val="center"/>
              <w:rPr>
                <w:rFonts w:ascii="Arial" w:hAnsi="Arial" w:cs="Arial"/>
                <w:kern w:val="0"/>
                <w:sz w:val="20"/>
              </w:rPr>
            </w:pPr>
            <w:r>
              <w:rPr>
                <w:rFonts w:ascii="Arial" w:hAnsi="Arial" w:cs="Arial"/>
                <w:kern w:val="0"/>
                <w:sz w:val="20"/>
              </w:rPr>
              <w:t>4</w:t>
            </w:r>
          </w:p>
        </w:tc>
        <w:tc>
          <w:tcPr>
            <w:tcW w:w="5948"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1.积极开展农产品质量安全执法（不包括农资打假类），移送司法机关并在司法机关立案的，每个案件加0.4分，最多得2分；出现或发现应处罚未处罚或不符合减轻处罚规定而减轻处罚、应移送未移送等情形的，本项不得分。2.公布本省年度农资打假典型案件，得2分，未公布不得分。</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300" w:lineRule="exact"/>
              <w:jc w:val="left"/>
              <w:rPr>
                <w:rFonts w:ascii="宋体" w:hAnsi="宋体" w:cs="Arial"/>
                <w:kern w:val="0"/>
                <w:sz w:val="20"/>
              </w:rPr>
            </w:pPr>
            <w:r>
              <w:rPr>
                <w:rFonts w:hint="eastAsia" w:ascii="宋体" w:hAnsi="宋体" w:cs="Arial"/>
                <w:kern w:val="0"/>
                <w:sz w:val="20"/>
              </w:rPr>
              <w:t>1.根据相关文件、通知、检查记录、记录档案、总结、移交单等，并参考纪检部门、举报和舆情信息。2.以本省公布典型案件的文件为准。以农业部门案件移送函和公安机关立案接收函为准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（五）推进社会共治</w:t>
            </w:r>
          </w:p>
        </w:tc>
        <w:tc>
          <w:tcPr>
            <w:tcW w:w="607" w:type="dxa"/>
            <w:vAlign w:val="center"/>
          </w:tcPr>
          <w:p>
            <w:pPr>
              <w:widowControl/>
              <w:snapToGrid w:val="0"/>
              <w:spacing w:line="280" w:lineRule="exact"/>
              <w:jc w:val="center"/>
              <w:rPr>
                <w:rFonts w:ascii="Arial" w:hAnsi="Arial" w:cs="Arial"/>
                <w:kern w:val="0"/>
                <w:sz w:val="20"/>
              </w:rPr>
            </w:pPr>
            <w:r>
              <w:rPr>
                <w:rFonts w:ascii="Arial" w:hAnsi="Arial" w:cs="Arial"/>
                <w:kern w:val="0"/>
                <w:sz w:val="20"/>
              </w:rPr>
              <w:t>3</w:t>
            </w:r>
          </w:p>
        </w:tc>
        <w:tc>
          <w:tcPr>
            <w:tcW w:w="5948"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1.建立农产品质量安全投诉举报制度，建立得1分，未建立不得分。2.建设农产品质量安全守信褒奖和失信惩戒机制，建立得1分，未建立不得分。3.建立农资和农产品生产经营主体信用档案，建立得1分，未建立不得分。</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热线测试，相关文件、通知等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（六）按时报送整治打假信息</w:t>
            </w:r>
          </w:p>
        </w:tc>
        <w:tc>
          <w:tcPr>
            <w:tcW w:w="607" w:type="dxa"/>
            <w:vAlign w:val="center"/>
          </w:tcPr>
          <w:p>
            <w:pPr>
              <w:widowControl/>
              <w:snapToGrid w:val="0"/>
              <w:spacing w:line="280" w:lineRule="exact"/>
              <w:jc w:val="center"/>
              <w:rPr>
                <w:rFonts w:ascii="Arial" w:hAnsi="Arial" w:cs="Arial"/>
                <w:kern w:val="0"/>
                <w:sz w:val="20"/>
              </w:rPr>
            </w:pPr>
            <w:r>
              <w:rPr>
                <w:rFonts w:ascii="Arial" w:hAnsi="Arial" w:cs="Arial"/>
                <w:kern w:val="0"/>
                <w:sz w:val="20"/>
              </w:rPr>
              <w:t>2</w:t>
            </w:r>
          </w:p>
        </w:tc>
        <w:tc>
          <w:tcPr>
            <w:tcW w:w="5948"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1.及时上报专项整治常规信息，满分1分，每延迟上报1次扣0.25分，不报1次扣0.5分，扣完为止。2.及时按月报送农资打假统计报表，满分1分，每延迟上报1次扣0.25分，不报1次扣0.5分，扣完为止。</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根据相关信息、报表等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9" w:hRule="atLeast"/>
          <w:tblHeader/>
        </w:trPr>
        <w:tc>
          <w:tcPr>
            <w:tcW w:w="1276" w:type="dxa"/>
            <w:vMerge w:val="restart"/>
            <w:vAlign w:val="center"/>
          </w:tcPr>
          <w:p>
            <w:pPr>
              <w:widowControl/>
              <w:jc w:val="left"/>
              <w:rPr>
                <w:rFonts w:ascii="宋体" w:hAnsi="宋体" w:cs="Arial"/>
                <w:kern w:val="0"/>
                <w:sz w:val="20"/>
              </w:rPr>
            </w:pPr>
            <w:r>
              <w:rPr>
                <w:rFonts w:hint="eastAsia" w:ascii="宋体" w:hAnsi="宋体" w:cs="Arial"/>
                <w:kern w:val="0"/>
                <w:sz w:val="20"/>
              </w:rPr>
              <w:t>三、加大农产品质量安全监测和质检体系建设力度</w:t>
            </w:r>
          </w:p>
        </w:tc>
        <w:tc>
          <w:tcPr>
            <w:tcW w:w="582" w:type="dxa"/>
            <w:vMerge w:val="restart"/>
            <w:vAlign w:val="center"/>
          </w:tcPr>
          <w:p>
            <w:pPr>
              <w:widowControl/>
              <w:jc w:val="center"/>
              <w:rPr>
                <w:rFonts w:ascii="Arial" w:hAnsi="Arial" w:cs="Arial"/>
                <w:kern w:val="0"/>
                <w:sz w:val="20"/>
              </w:rPr>
            </w:pPr>
            <w:r>
              <w:rPr>
                <w:rFonts w:ascii="Arial" w:hAnsi="Arial" w:cs="Arial"/>
                <w:kern w:val="0"/>
                <w:sz w:val="20"/>
              </w:rPr>
              <w:t>15</w:t>
            </w:r>
          </w:p>
        </w:tc>
        <w:tc>
          <w:tcPr>
            <w:tcW w:w="1341"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（一）开展省级监测工作</w:t>
            </w:r>
          </w:p>
        </w:tc>
        <w:tc>
          <w:tcPr>
            <w:tcW w:w="607" w:type="dxa"/>
            <w:vAlign w:val="center"/>
          </w:tcPr>
          <w:p>
            <w:pPr>
              <w:widowControl/>
              <w:snapToGrid w:val="0"/>
              <w:spacing w:line="280" w:lineRule="exact"/>
              <w:jc w:val="center"/>
              <w:rPr>
                <w:rFonts w:ascii="Arial" w:hAnsi="Arial" w:cs="Arial"/>
                <w:kern w:val="0"/>
                <w:sz w:val="20"/>
              </w:rPr>
            </w:pPr>
            <w:r>
              <w:rPr>
                <w:rFonts w:ascii="Arial" w:hAnsi="Arial" w:cs="Arial"/>
                <w:kern w:val="0"/>
                <w:sz w:val="20"/>
              </w:rPr>
              <w:t>3</w:t>
            </w:r>
          </w:p>
        </w:tc>
        <w:tc>
          <w:tcPr>
            <w:tcW w:w="5948"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组织开展本辖区范围内农产品质量安全监测工作3分。分档如下：省（区、市）、市（地、州）、县（区）均开展了农产品质量安全监测工作的，得3分；仅省级和地市级开展监测工作的，得2分；仅开展了省级农产品质量安全监测工作的，得1分；省、市、县均没有开展的，不得分。</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根据相关文件、通知等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（二）监测数据报送</w:t>
            </w:r>
          </w:p>
        </w:tc>
        <w:tc>
          <w:tcPr>
            <w:tcW w:w="607" w:type="dxa"/>
            <w:vAlign w:val="center"/>
          </w:tcPr>
          <w:p>
            <w:pPr>
              <w:widowControl/>
              <w:snapToGrid w:val="0"/>
              <w:spacing w:line="280" w:lineRule="exact"/>
              <w:jc w:val="center"/>
              <w:rPr>
                <w:rFonts w:ascii="Arial" w:hAnsi="Arial" w:cs="Arial"/>
                <w:kern w:val="0"/>
                <w:sz w:val="20"/>
              </w:rPr>
            </w:pPr>
            <w:r>
              <w:rPr>
                <w:rFonts w:ascii="Arial" w:hAnsi="Arial" w:cs="Arial"/>
                <w:kern w:val="0"/>
                <w:sz w:val="20"/>
              </w:rPr>
              <w:t>1</w:t>
            </w:r>
          </w:p>
        </w:tc>
        <w:tc>
          <w:tcPr>
            <w:tcW w:w="5948"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省级农产品质量安全监测数据报送1分。各省（区、市）每季度（次）省级农产品质量安全监测工作完成后，及时通过“全国农产品质量安全风险监测信息管理系统（网址：www.xxgl.madc.org.cn）”向农业部农产品质量安全监管局报送监测数据的，得1分；每少报一次扣0.1分，最多扣1分；不上报不得分。</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根据管理系统数据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6"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（三）检测体系建设</w:t>
            </w:r>
          </w:p>
        </w:tc>
        <w:tc>
          <w:tcPr>
            <w:tcW w:w="607" w:type="dxa"/>
            <w:vAlign w:val="center"/>
          </w:tcPr>
          <w:p>
            <w:pPr>
              <w:widowControl/>
              <w:snapToGrid w:val="0"/>
              <w:spacing w:line="280" w:lineRule="exact"/>
              <w:jc w:val="center"/>
              <w:rPr>
                <w:rFonts w:ascii="Arial" w:hAnsi="Arial" w:cs="Arial"/>
                <w:kern w:val="0"/>
                <w:sz w:val="20"/>
              </w:rPr>
            </w:pPr>
            <w:r>
              <w:rPr>
                <w:rFonts w:ascii="Arial" w:hAnsi="Arial" w:cs="Arial"/>
                <w:kern w:val="0"/>
                <w:sz w:val="20"/>
              </w:rPr>
              <w:t>2</w:t>
            </w:r>
          </w:p>
        </w:tc>
        <w:tc>
          <w:tcPr>
            <w:tcW w:w="5948"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农产品质量安全检验检测体系建设2分。《全国农产品质量安全检验检测体系建设规划（2006-2010）》《全国农产品质量安全检验检测体系建设规划（2011-2015）》投资建设的各省（区、市）所有农产品质检体系建设项目完成竣工验收60%（含）以上的得2分，达到50%（含）以上的得1.5分，40%（含）以上的得1分，39%以下的不得分。</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根据最终出具的验收结果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（四）检测机构考核</w:t>
            </w:r>
          </w:p>
        </w:tc>
        <w:tc>
          <w:tcPr>
            <w:tcW w:w="607" w:type="dxa"/>
            <w:vAlign w:val="center"/>
          </w:tcPr>
          <w:p>
            <w:pPr>
              <w:widowControl/>
              <w:snapToGrid w:val="0"/>
              <w:spacing w:line="280" w:lineRule="exact"/>
              <w:jc w:val="center"/>
              <w:rPr>
                <w:rFonts w:ascii="Arial" w:hAnsi="Arial" w:cs="Arial"/>
                <w:kern w:val="0"/>
                <w:sz w:val="20"/>
              </w:rPr>
            </w:pPr>
            <w:r>
              <w:rPr>
                <w:rFonts w:ascii="Arial" w:hAnsi="Arial" w:cs="Arial"/>
                <w:kern w:val="0"/>
                <w:sz w:val="20"/>
              </w:rPr>
              <w:t>2</w:t>
            </w:r>
          </w:p>
        </w:tc>
        <w:tc>
          <w:tcPr>
            <w:tcW w:w="5948"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农产品质量安全检验检测机构考核2分。分档如下：组织开展了本省（区、市）省级农产品质量安全检测机构考核工作的得1分。按规定完成当年全部申请的省级农产品质量安全检测机构考核并发证的，得1分，每未完成一个扣0.2分，最多扣1分。</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snapToGrid w:val="0"/>
              <w:spacing w:line="280" w:lineRule="exact"/>
              <w:jc w:val="left"/>
              <w:rPr>
                <w:rFonts w:ascii="宋体" w:hAnsi="宋体" w:cs="Arial"/>
                <w:kern w:val="0"/>
                <w:sz w:val="20"/>
              </w:rPr>
            </w:pPr>
            <w:r>
              <w:rPr>
                <w:rFonts w:hint="eastAsia" w:ascii="宋体" w:hAnsi="宋体" w:cs="Arial"/>
                <w:kern w:val="0"/>
                <w:sz w:val="20"/>
              </w:rPr>
              <w:t>根据最终出具的考核结果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7"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（五）农产品质量安全风险监测问题发现</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农产品质量安全风险监测问题发现3分。依据各省（区、市）全年农产品质量安全风险监测结果,发现问题品种和指标数量分别达到计划监测品种和指标数量1.5%的得1分,未达到1.5%的得0.8分。每发现1个问题品种和指标并查明问题原因的加0.2分，直至得满3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根据相关文件、通知、总结、报告等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5"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（六）蔬菜、畜禽产品、水产品监测合格率</w:t>
            </w:r>
          </w:p>
        </w:tc>
        <w:tc>
          <w:tcPr>
            <w:tcW w:w="607" w:type="dxa"/>
            <w:vAlign w:val="center"/>
          </w:tcPr>
          <w:p>
            <w:pPr>
              <w:widowControl/>
              <w:jc w:val="center"/>
              <w:rPr>
                <w:rFonts w:ascii="Arial" w:hAnsi="Arial" w:cs="Arial"/>
                <w:kern w:val="0"/>
                <w:sz w:val="20"/>
              </w:rPr>
            </w:pPr>
            <w:r>
              <w:rPr>
                <w:rFonts w:ascii="Arial" w:hAnsi="Arial" w:cs="Arial"/>
                <w:kern w:val="0"/>
                <w:sz w:val="20"/>
              </w:rPr>
              <w:t>4</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蔬菜、畜禽产品、水产品监测合格率分别占1.5、1.5、1分。具体计分如下：蔬菜、畜禽产品和水产品监测合格率分别达到94.5%、98%和93.5%以上的得满分；分档扣分如下：蔬菜监测合格率为92-94.4％的省份扣0.1分；90-91.9％的省份扣0.2分； 89.9％以下的省份扣0.3分。畜禽产品监测合格率为95-97.9％的省份扣0.1分；90-94.9％的省份扣0.2分； 89.9％以下的省份扣0.3分。水产品监测合格率为90-93.4％的省份扣0.1分；85-89.9％的省份扣0.2分；84.9％以下的省份扣0.3分。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根据监测结果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tblHeader/>
        </w:trPr>
        <w:tc>
          <w:tcPr>
            <w:tcW w:w="1276" w:type="dxa"/>
            <w:vMerge w:val="restart"/>
            <w:vAlign w:val="center"/>
          </w:tcPr>
          <w:p>
            <w:pPr>
              <w:widowControl/>
              <w:jc w:val="left"/>
              <w:rPr>
                <w:rFonts w:ascii="宋体" w:hAnsi="宋体" w:cs="Arial"/>
                <w:kern w:val="0"/>
                <w:sz w:val="20"/>
              </w:rPr>
            </w:pPr>
            <w:r>
              <w:rPr>
                <w:rFonts w:hint="eastAsia" w:ascii="宋体" w:hAnsi="宋体" w:cs="Arial"/>
                <w:kern w:val="0"/>
                <w:sz w:val="20"/>
              </w:rPr>
              <w:t>四、推进农业标准化生产</w:t>
            </w:r>
          </w:p>
        </w:tc>
        <w:tc>
          <w:tcPr>
            <w:tcW w:w="582" w:type="dxa"/>
            <w:vMerge w:val="restart"/>
            <w:vAlign w:val="center"/>
          </w:tcPr>
          <w:p>
            <w:pPr>
              <w:widowControl/>
              <w:jc w:val="center"/>
              <w:rPr>
                <w:rFonts w:ascii="Arial" w:hAnsi="Arial" w:cs="Arial"/>
                <w:kern w:val="0"/>
                <w:sz w:val="20"/>
              </w:rPr>
            </w:pPr>
            <w:r>
              <w:rPr>
                <w:rFonts w:ascii="Arial" w:hAnsi="Arial" w:cs="Arial"/>
                <w:kern w:val="0"/>
                <w:sz w:val="20"/>
              </w:rPr>
              <w:t>13</w:t>
            </w:r>
          </w:p>
        </w:tc>
        <w:tc>
          <w:tcPr>
            <w:tcW w:w="1341" w:type="dxa"/>
            <w:vAlign w:val="center"/>
          </w:tcPr>
          <w:p>
            <w:pPr>
              <w:widowControl/>
              <w:jc w:val="left"/>
              <w:rPr>
                <w:rFonts w:ascii="宋体" w:hAnsi="宋体" w:cs="Arial"/>
                <w:kern w:val="0"/>
                <w:sz w:val="20"/>
              </w:rPr>
            </w:pPr>
            <w:r>
              <w:rPr>
                <w:rFonts w:hint="eastAsia" w:ascii="宋体" w:hAnsi="宋体" w:cs="Arial"/>
                <w:kern w:val="0"/>
                <w:sz w:val="20"/>
              </w:rPr>
              <w:t>（一）加快标准落地示范</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1.加强标准集成转化，制定与国家标准、行业标准相配套的本行业、本区域生产操作规程，制定得1分，未制定不得分。2.引导创建农业标准化生产示范园（区）、示范场（企业、合作社）、示范乡（镇）等，开展工作得2分，未开展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根据相关通知、文件、规程、通报等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（二）推进生产者按标生产</w:t>
            </w:r>
          </w:p>
        </w:tc>
        <w:tc>
          <w:tcPr>
            <w:tcW w:w="607" w:type="dxa"/>
            <w:vAlign w:val="center"/>
          </w:tcPr>
          <w:p>
            <w:pPr>
              <w:widowControl/>
              <w:jc w:val="center"/>
              <w:rPr>
                <w:rFonts w:ascii="Arial" w:hAnsi="Arial" w:cs="Arial"/>
                <w:kern w:val="0"/>
                <w:sz w:val="20"/>
              </w:rPr>
            </w:pPr>
            <w:r>
              <w:rPr>
                <w:rFonts w:ascii="Arial" w:hAnsi="Arial" w:cs="Arial"/>
                <w:kern w:val="0"/>
                <w:sz w:val="20"/>
              </w:rPr>
              <w:t>4</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引导生产经营单位按标生产。生产经营单位有生产操作规程得1分，没有不得分；按生产操作规程操作得1分，未按操作不得分；按照要求规范记录生产档案的得2分，未规范记录不得分。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根据相关通知、文件、检查报告等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（三）建立完善“三品一标”工作机制</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1.制定“三品一标”年度工作计划方案，制定得1分，未制定不得分。2.对“三品一标”认证登记实施补贴奖励政策，实施得1分，未实施不得分。3.建立并实施获证产品退出报告机制，建立实施得1分，未建立实施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（四）稳步扩大“三品一标”规模</w:t>
            </w:r>
          </w:p>
        </w:tc>
        <w:tc>
          <w:tcPr>
            <w:tcW w:w="607" w:type="dxa"/>
            <w:vAlign w:val="center"/>
          </w:tcPr>
          <w:p>
            <w:pPr>
              <w:widowControl/>
              <w:jc w:val="center"/>
              <w:rPr>
                <w:rFonts w:ascii="Arial" w:hAnsi="Arial" w:cs="Arial"/>
                <w:kern w:val="0"/>
                <w:sz w:val="20"/>
              </w:rPr>
            </w:pPr>
            <w:r>
              <w:rPr>
                <w:rFonts w:ascii="Arial" w:hAnsi="Arial" w:cs="Arial"/>
                <w:kern w:val="0"/>
                <w:sz w:val="20"/>
              </w:rPr>
              <w:t>1.5</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“三品一标”获证产品数量年增幅保持在6%（含6%）以上的，得1.5分，每少1个百分点（不足1个百分点，按1个百分点计）扣0.25分，扣完为止。</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根据年度总结报表等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（五）“三品一标”产品质量安全稳定可靠</w:t>
            </w:r>
          </w:p>
        </w:tc>
        <w:tc>
          <w:tcPr>
            <w:tcW w:w="607" w:type="dxa"/>
            <w:vAlign w:val="center"/>
          </w:tcPr>
          <w:p>
            <w:pPr>
              <w:widowControl/>
              <w:jc w:val="center"/>
              <w:rPr>
                <w:rFonts w:ascii="Arial" w:hAnsi="Arial" w:cs="Arial"/>
                <w:kern w:val="0"/>
                <w:sz w:val="20"/>
              </w:rPr>
            </w:pPr>
            <w:r>
              <w:rPr>
                <w:rFonts w:ascii="Arial" w:hAnsi="Arial" w:cs="Arial"/>
                <w:kern w:val="0"/>
                <w:sz w:val="20"/>
              </w:rPr>
              <w:t>1.5</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“三品一标”获证产品抽检合格率保持在98%以上，得1.5分，每少1个百分点（不足1个百分点，按1个百分点计）扣0.25分，扣完为止。</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根据结果通报情况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blHeader/>
        </w:trPr>
        <w:tc>
          <w:tcPr>
            <w:tcW w:w="1276" w:type="dxa"/>
            <w:vMerge w:val="restart"/>
            <w:vAlign w:val="center"/>
          </w:tcPr>
          <w:p>
            <w:pPr>
              <w:widowControl/>
              <w:jc w:val="left"/>
              <w:rPr>
                <w:rFonts w:ascii="宋体" w:hAnsi="宋体" w:cs="Arial"/>
                <w:kern w:val="0"/>
                <w:sz w:val="20"/>
              </w:rPr>
            </w:pPr>
            <w:r>
              <w:rPr>
                <w:rFonts w:hint="eastAsia" w:ascii="宋体" w:hAnsi="宋体" w:cs="Arial"/>
                <w:kern w:val="0"/>
                <w:sz w:val="20"/>
              </w:rPr>
              <w:t>（五）做好农产品质量安全应急处置及风险评估工作</w:t>
            </w:r>
          </w:p>
        </w:tc>
        <w:tc>
          <w:tcPr>
            <w:tcW w:w="582" w:type="dxa"/>
            <w:vMerge w:val="restart"/>
            <w:vAlign w:val="center"/>
          </w:tcPr>
          <w:p>
            <w:pPr>
              <w:widowControl/>
              <w:jc w:val="center"/>
              <w:rPr>
                <w:rFonts w:ascii="Arial" w:hAnsi="Arial" w:cs="Arial"/>
                <w:kern w:val="0"/>
                <w:sz w:val="20"/>
              </w:rPr>
            </w:pPr>
            <w:r>
              <w:rPr>
                <w:rFonts w:ascii="Arial" w:hAnsi="Arial" w:cs="Arial"/>
                <w:kern w:val="0"/>
                <w:sz w:val="20"/>
              </w:rPr>
              <w:t>13</w:t>
            </w:r>
          </w:p>
        </w:tc>
        <w:tc>
          <w:tcPr>
            <w:tcW w:w="1341" w:type="dxa"/>
            <w:vAlign w:val="center"/>
          </w:tcPr>
          <w:p>
            <w:pPr>
              <w:widowControl/>
              <w:jc w:val="left"/>
              <w:rPr>
                <w:rFonts w:ascii="宋体" w:hAnsi="宋体" w:cs="Arial"/>
                <w:kern w:val="0"/>
                <w:sz w:val="20"/>
              </w:rPr>
            </w:pPr>
            <w:r>
              <w:rPr>
                <w:rFonts w:hint="eastAsia" w:ascii="宋体" w:hAnsi="宋体" w:cs="Arial"/>
                <w:kern w:val="0"/>
                <w:sz w:val="20"/>
              </w:rPr>
              <w:t>（一）建立应急处置工作机制</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1.制修订省级农产品质量安全突发事件应急预案，制修订得2分，未制修订不得分。2.建立全天候的农产品质量安全舆情监测、跟踪分析与处置预案，建立得1分，未建立不得分。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根据相关省级预案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（二）建立农产品质量安全风险评估制度</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建立农产品质量安全风险评估制度，依托省内风险评估实验室、实验站开展辖区内农产品质量安全风险评估工作，及时掌握本地风险隐患，开展工作得3分，未开展的不得分。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根据相关总结、报告等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（三）积极开展日常应急处置工作</w:t>
            </w:r>
          </w:p>
        </w:tc>
        <w:tc>
          <w:tcPr>
            <w:tcW w:w="607" w:type="dxa"/>
            <w:vAlign w:val="center"/>
          </w:tcPr>
          <w:p>
            <w:pPr>
              <w:widowControl/>
              <w:jc w:val="center"/>
              <w:rPr>
                <w:rFonts w:ascii="Arial" w:hAnsi="Arial" w:cs="Arial"/>
                <w:kern w:val="0"/>
                <w:sz w:val="20"/>
              </w:rPr>
            </w:pPr>
            <w:r>
              <w:rPr>
                <w:rFonts w:ascii="Arial" w:hAnsi="Arial" w:cs="Arial"/>
                <w:kern w:val="0"/>
                <w:sz w:val="20"/>
              </w:rPr>
              <w:t>4</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1.加强农产品质量安全舆情事件和突发事件的应急处置能力，开展应急演练及培训得2分，未开展不得分。2.若属地发生舆情事件或突发事件，积极妥善应对，处置妥当的得2分，处置不力的不得分。若属地未发生舆情突发事件，亦得2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根据相关通知、总结、汇报等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（四）畅通交流渠道</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每天按时接收部内发送的舆情快报，及时跟踪相关舆情信息，及时报送属地舆情事件和突发事件的第一手材料，确保信息交流渠道畅通。满分3分，属地舆情事件或突发事件一项未及时报送的扣0.5分，最多扣3分。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根据相关报告、总结等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tblHeader/>
        </w:trPr>
        <w:tc>
          <w:tcPr>
            <w:tcW w:w="1276" w:type="dxa"/>
            <w:vMerge w:val="restart"/>
            <w:vAlign w:val="center"/>
          </w:tcPr>
          <w:p>
            <w:pPr>
              <w:widowControl/>
              <w:jc w:val="left"/>
              <w:rPr>
                <w:rFonts w:ascii="宋体" w:hAnsi="宋体" w:cs="Arial"/>
                <w:kern w:val="0"/>
                <w:sz w:val="20"/>
              </w:rPr>
            </w:pPr>
            <w:r>
              <w:rPr>
                <w:rFonts w:hint="eastAsia" w:ascii="宋体" w:hAnsi="宋体" w:cs="Arial"/>
                <w:kern w:val="0"/>
                <w:sz w:val="20"/>
              </w:rPr>
              <w:t>六、扎实推进国家农产品质量安全县创建</w:t>
            </w:r>
          </w:p>
        </w:tc>
        <w:tc>
          <w:tcPr>
            <w:tcW w:w="582" w:type="dxa"/>
            <w:vMerge w:val="restart"/>
            <w:vAlign w:val="center"/>
          </w:tcPr>
          <w:p>
            <w:pPr>
              <w:widowControl/>
              <w:jc w:val="center"/>
              <w:rPr>
                <w:rFonts w:ascii="Arial" w:hAnsi="Arial" w:cs="Arial"/>
                <w:kern w:val="0"/>
                <w:sz w:val="20"/>
              </w:rPr>
            </w:pPr>
            <w:r>
              <w:rPr>
                <w:rFonts w:ascii="Arial" w:hAnsi="Arial" w:cs="Arial"/>
                <w:kern w:val="0"/>
                <w:sz w:val="20"/>
              </w:rPr>
              <w:t>14</w:t>
            </w:r>
          </w:p>
        </w:tc>
        <w:tc>
          <w:tcPr>
            <w:tcW w:w="1341" w:type="dxa"/>
            <w:vAlign w:val="center"/>
          </w:tcPr>
          <w:p>
            <w:pPr>
              <w:widowControl/>
              <w:jc w:val="left"/>
              <w:rPr>
                <w:rFonts w:ascii="宋体" w:hAnsi="宋体" w:cs="Arial"/>
                <w:kern w:val="0"/>
                <w:sz w:val="20"/>
              </w:rPr>
            </w:pPr>
            <w:r>
              <w:rPr>
                <w:rFonts w:hint="eastAsia" w:ascii="宋体" w:hAnsi="宋体" w:cs="Arial"/>
                <w:kern w:val="0"/>
                <w:sz w:val="20"/>
              </w:rPr>
              <w:t>（一）巩固创建成果</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1.将首批国家农产品质量安全县打造成标准化生产、全程监管、监管体系建设、社会共治的样板区，实施得2分，未实施不得分。2.加强国家农产品质量安全县的监督管理，实行定期考核、动态管理，开展得1分，未开展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根据相关验收意见、文件、通知、记录档案等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（二）扩大创建范围</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遴选推荐第二批国家农产品质量安全县创建试点单位，加强对创建试点单位的督查指导，督促试点县（市）落实属地管理责任，加大投入力度，创新制度机制，实施全程监管，开展得3分，未开展不得分。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（三）“双安双创”成果展</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按照“双安双创”成果展的要求，按时报送国家农产品质量安全县（市）相关材料，按时报送得3分，未报送或未按时报送不得分。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根据报送统计情况等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（四）加强总结推广</w:t>
            </w:r>
          </w:p>
        </w:tc>
        <w:tc>
          <w:tcPr>
            <w:tcW w:w="607" w:type="dxa"/>
            <w:vAlign w:val="center"/>
          </w:tcPr>
          <w:p>
            <w:pPr>
              <w:widowControl/>
              <w:jc w:val="center"/>
              <w:rPr>
                <w:rFonts w:ascii="Arial" w:hAnsi="Arial" w:cs="Arial"/>
                <w:kern w:val="0"/>
                <w:sz w:val="20"/>
              </w:rPr>
            </w:pPr>
            <w:r>
              <w:rPr>
                <w:rFonts w:ascii="Arial" w:hAnsi="Arial" w:cs="Arial"/>
                <w:kern w:val="0"/>
                <w:sz w:val="20"/>
              </w:rPr>
              <w:t>2</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充分发挥国家农产品质量安全县的示范引领作用，及时总结推广创建的好经验、好做法，加大农产品质量安全县创建活动的宣传力度。进行宣传推广的得2分，未宣传推广的不得分。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根据宣传报道情况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7"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（五）开展省级创建</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各省（区、市）分层次、分步骤组织开展农产品质量安全县创建活动，在国家农产品质量安全县创建活动的基础上，积极开展本省（区、市）的创建活动，整体提升农产品质量安全监管能力和水平。开展本省（区、市）农产品质量安全县创建工作的得3分，未开展的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根据相关文件、通知、通报等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blHeader/>
        </w:trPr>
        <w:tc>
          <w:tcPr>
            <w:tcW w:w="1276" w:type="dxa"/>
            <w:vMerge w:val="restart"/>
            <w:vAlign w:val="center"/>
          </w:tcPr>
          <w:p>
            <w:pPr>
              <w:widowControl/>
              <w:jc w:val="left"/>
              <w:rPr>
                <w:rFonts w:ascii="宋体" w:hAnsi="宋体" w:cs="Arial"/>
                <w:kern w:val="0"/>
                <w:sz w:val="20"/>
              </w:rPr>
            </w:pPr>
            <w:r>
              <w:rPr>
                <w:rFonts w:hint="eastAsia" w:ascii="宋体" w:hAnsi="宋体" w:cs="Arial"/>
                <w:kern w:val="0"/>
                <w:sz w:val="20"/>
              </w:rPr>
              <w:t>七、加强农产品质量安全监管体系建设</w:t>
            </w:r>
          </w:p>
        </w:tc>
        <w:tc>
          <w:tcPr>
            <w:tcW w:w="582" w:type="dxa"/>
            <w:vMerge w:val="restart"/>
            <w:vAlign w:val="center"/>
          </w:tcPr>
          <w:p>
            <w:pPr>
              <w:widowControl/>
              <w:jc w:val="center"/>
              <w:rPr>
                <w:rFonts w:ascii="Arial" w:hAnsi="Arial" w:cs="Arial"/>
                <w:kern w:val="0"/>
                <w:sz w:val="20"/>
              </w:rPr>
            </w:pPr>
            <w:r>
              <w:rPr>
                <w:rFonts w:ascii="Arial" w:hAnsi="Arial" w:cs="Arial"/>
                <w:kern w:val="0"/>
                <w:sz w:val="20"/>
              </w:rPr>
              <w:t>7</w:t>
            </w:r>
          </w:p>
        </w:tc>
        <w:tc>
          <w:tcPr>
            <w:tcW w:w="1341" w:type="dxa"/>
            <w:vAlign w:val="center"/>
          </w:tcPr>
          <w:p>
            <w:pPr>
              <w:widowControl/>
              <w:jc w:val="left"/>
              <w:rPr>
                <w:rFonts w:ascii="宋体" w:hAnsi="宋体" w:cs="Arial"/>
                <w:kern w:val="0"/>
                <w:sz w:val="20"/>
              </w:rPr>
            </w:pPr>
            <w:r>
              <w:rPr>
                <w:rFonts w:hint="eastAsia" w:ascii="宋体" w:hAnsi="宋体" w:cs="Arial"/>
                <w:kern w:val="0"/>
                <w:sz w:val="20"/>
              </w:rPr>
              <w:t>（一）加强市县级监管机构建设</w:t>
            </w:r>
          </w:p>
        </w:tc>
        <w:tc>
          <w:tcPr>
            <w:tcW w:w="607" w:type="dxa"/>
            <w:vAlign w:val="center"/>
          </w:tcPr>
          <w:p>
            <w:pPr>
              <w:widowControl/>
              <w:jc w:val="center"/>
              <w:rPr>
                <w:rFonts w:ascii="Arial" w:hAnsi="Arial" w:cs="Arial"/>
                <w:kern w:val="0"/>
                <w:sz w:val="20"/>
              </w:rPr>
            </w:pPr>
            <w:r>
              <w:rPr>
                <w:rFonts w:ascii="Arial" w:hAnsi="Arial" w:cs="Arial"/>
                <w:kern w:val="0"/>
                <w:sz w:val="20"/>
              </w:rPr>
              <w:t>3</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经编办批准设立地市级监管机构达到95%以上的得1分，90-95%得0.5分，90%以下不得分；经编办批准设立县级监管机构达到90%以上得2分，80-89%得1分，80%以下不得分。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根据相关文件、通知、通报等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（二）普及乡镇监管机构建设</w:t>
            </w:r>
          </w:p>
        </w:tc>
        <w:tc>
          <w:tcPr>
            <w:tcW w:w="607" w:type="dxa"/>
            <w:vAlign w:val="center"/>
          </w:tcPr>
          <w:p>
            <w:pPr>
              <w:widowControl/>
              <w:jc w:val="center"/>
              <w:rPr>
                <w:rFonts w:ascii="Arial" w:hAnsi="Arial" w:cs="Arial"/>
                <w:kern w:val="0"/>
                <w:sz w:val="20"/>
              </w:rPr>
            </w:pPr>
            <w:r>
              <w:rPr>
                <w:rFonts w:ascii="Arial" w:hAnsi="Arial" w:cs="Arial"/>
                <w:kern w:val="0"/>
                <w:sz w:val="20"/>
              </w:rPr>
              <w:t>2</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涉农乡镇农产品质量安全监管机构建设率达到100%得2分，95%以上得1分，95%以下不得分。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根据相关文件、通知、通报等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（三）推进村级监管员队伍建设</w:t>
            </w:r>
          </w:p>
        </w:tc>
        <w:tc>
          <w:tcPr>
            <w:tcW w:w="607" w:type="dxa"/>
            <w:vAlign w:val="center"/>
          </w:tcPr>
          <w:p>
            <w:pPr>
              <w:widowControl/>
              <w:jc w:val="center"/>
              <w:rPr>
                <w:rFonts w:ascii="Arial" w:hAnsi="Arial" w:cs="Arial"/>
                <w:kern w:val="0"/>
                <w:sz w:val="20"/>
              </w:rPr>
            </w:pPr>
            <w:r>
              <w:rPr>
                <w:rFonts w:ascii="Arial" w:hAnsi="Arial" w:cs="Arial"/>
                <w:kern w:val="0"/>
                <w:sz w:val="20"/>
              </w:rPr>
              <w:t>1</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推进村级监管员队伍建设的得1分，未推进的不得分。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根据相关文件、通知、通报等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（四）加强培训</w:t>
            </w:r>
          </w:p>
        </w:tc>
        <w:tc>
          <w:tcPr>
            <w:tcW w:w="607" w:type="dxa"/>
            <w:vAlign w:val="center"/>
          </w:tcPr>
          <w:p>
            <w:pPr>
              <w:widowControl/>
              <w:jc w:val="center"/>
              <w:rPr>
                <w:rFonts w:ascii="Arial" w:hAnsi="Arial" w:cs="Arial"/>
                <w:kern w:val="0"/>
                <w:sz w:val="20"/>
              </w:rPr>
            </w:pPr>
            <w:r>
              <w:rPr>
                <w:rFonts w:ascii="Arial" w:hAnsi="Arial" w:cs="Arial"/>
                <w:kern w:val="0"/>
                <w:sz w:val="20"/>
              </w:rPr>
              <w:t>1</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开展农产品质量安全培训的得1分，未开展的不得分。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根据相关文件、通知、通报等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blHeader/>
        </w:trPr>
        <w:tc>
          <w:tcPr>
            <w:tcW w:w="1276" w:type="dxa"/>
            <w:vMerge w:val="restart"/>
            <w:vAlign w:val="center"/>
          </w:tcPr>
          <w:p>
            <w:pPr>
              <w:widowControl/>
              <w:jc w:val="left"/>
              <w:rPr>
                <w:rFonts w:ascii="宋体" w:hAnsi="宋体" w:cs="Arial"/>
                <w:kern w:val="0"/>
                <w:sz w:val="20"/>
              </w:rPr>
            </w:pPr>
            <w:r>
              <w:rPr>
                <w:rFonts w:hint="eastAsia" w:ascii="宋体" w:hAnsi="宋体" w:cs="Arial"/>
                <w:kern w:val="0"/>
                <w:sz w:val="20"/>
              </w:rPr>
              <w:t>八、加大宣传力度</w:t>
            </w:r>
          </w:p>
        </w:tc>
        <w:tc>
          <w:tcPr>
            <w:tcW w:w="582" w:type="dxa"/>
            <w:vMerge w:val="restart"/>
            <w:vAlign w:val="center"/>
          </w:tcPr>
          <w:p>
            <w:pPr>
              <w:widowControl/>
              <w:jc w:val="center"/>
              <w:rPr>
                <w:rFonts w:ascii="Arial" w:hAnsi="Arial" w:cs="Arial"/>
                <w:kern w:val="0"/>
                <w:sz w:val="20"/>
              </w:rPr>
            </w:pPr>
            <w:r>
              <w:rPr>
                <w:rFonts w:ascii="Arial" w:hAnsi="Arial" w:cs="Arial"/>
                <w:kern w:val="0"/>
                <w:sz w:val="20"/>
              </w:rPr>
              <w:t>4</w:t>
            </w:r>
          </w:p>
        </w:tc>
        <w:tc>
          <w:tcPr>
            <w:tcW w:w="1341" w:type="dxa"/>
            <w:vAlign w:val="center"/>
          </w:tcPr>
          <w:p>
            <w:pPr>
              <w:widowControl/>
              <w:jc w:val="left"/>
              <w:rPr>
                <w:rFonts w:ascii="宋体" w:hAnsi="宋体" w:cs="Arial"/>
                <w:kern w:val="0"/>
                <w:sz w:val="20"/>
              </w:rPr>
            </w:pPr>
            <w:r>
              <w:rPr>
                <w:rFonts w:hint="eastAsia" w:ascii="宋体" w:hAnsi="宋体" w:cs="Arial"/>
                <w:kern w:val="0"/>
                <w:sz w:val="20"/>
              </w:rPr>
              <w:t>（一）放心农资下乡进村宣传</w:t>
            </w:r>
          </w:p>
        </w:tc>
        <w:tc>
          <w:tcPr>
            <w:tcW w:w="607" w:type="dxa"/>
            <w:vAlign w:val="center"/>
          </w:tcPr>
          <w:p>
            <w:pPr>
              <w:widowControl/>
              <w:jc w:val="center"/>
              <w:rPr>
                <w:rFonts w:ascii="Arial" w:hAnsi="Arial" w:cs="Arial"/>
                <w:kern w:val="0"/>
                <w:sz w:val="20"/>
              </w:rPr>
            </w:pPr>
            <w:r>
              <w:rPr>
                <w:rFonts w:ascii="Arial" w:hAnsi="Arial" w:cs="Arial"/>
                <w:kern w:val="0"/>
                <w:sz w:val="20"/>
              </w:rPr>
              <w:t>1</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开展放心农资下乡进村宣传周活动得1分，未开展不得分。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以宣传周或现场咨询活动通知为准。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（二）开展农产品质量安全宣传</w:t>
            </w:r>
          </w:p>
        </w:tc>
        <w:tc>
          <w:tcPr>
            <w:tcW w:w="607" w:type="dxa"/>
            <w:vAlign w:val="center"/>
          </w:tcPr>
          <w:p>
            <w:pPr>
              <w:widowControl/>
              <w:jc w:val="center"/>
              <w:rPr>
                <w:rFonts w:ascii="Arial" w:hAnsi="Arial" w:cs="Arial"/>
                <w:kern w:val="0"/>
                <w:sz w:val="20"/>
              </w:rPr>
            </w:pPr>
            <w:r>
              <w:rPr>
                <w:rFonts w:ascii="Arial" w:hAnsi="Arial" w:cs="Arial"/>
                <w:kern w:val="0"/>
                <w:sz w:val="20"/>
              </w:rPr>
              <w:t>1</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开展1次农产品质量安全工作宣传报道活动得0.2分，最多得1分。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根据宣传报道情况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（三）加强科普解读宣传</w:t>
            </w:r>
          </w:p>
        </w:tc>
        <w:tc>
          <w:tcPr>
            <w:tcW w:w="607" w:type="dxa"/>
            <w:vAlign w:val="center"/>
          </w:tcPr>
          <w:p>
            <w:pPr>
              <w:widowControl/>
              <w:jc w:val="center"/>
              <w:rPr>
                <w:rFonts w:ascii="Arial" w:hAnsi="Arial" w:cs="Arial"/>
                <w:kern w:val="0"/>
                <w:sz w:val="20"/>
              </w:rPr>
            </w:pPr>
            <w:r>
              <w:rPr>
                <w:rFonts w:ascii="Arial" w:hAnsi="Arial" w:cs="Arial"/>
                <w:kern w:val="0"/>
                <w:sz w:val="20"/>
              </w:rPr>
              <w:t>2</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将应急处置端口前移，依托专家及媒体开展农产品质量安全科普宣传，开展得2分，未开展的不得分。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根据宣传报道情况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blHeader/>
        </w:trPr>
        <w:tc>
          <w:tcPr>
            <w:tcW w:w="1276" w:type="dxa"/>
            <w:vMerge w:val="restart"/>
            <w:vAlign w:val="center"/>
          </w:tcPr>
          <w:p>
            <w:pPr>
              <w:widowControl/>
              <w:jc w:val="left"/>
              <w:rPr>
                <w:rFonts w:ascii="宋体" w:hAnsi="宋体" w:cs="Arial"/>
                <w:kern w:val="0"/>
                <w:sz w:val="20"/>
              </w:rPr>
            </w:pPr>
            <w:r>
              <w:rPr>
                <w:rFonts w:hint="eastAsia" w:ascii="宋体" w:hAnsi="宋体" w:cs="Arial"/>
                <w:kern w:val="0"/>
                <w:sz w:val="20"/>
              </w:rPr>
              <w:t>九、加分项</w:t>
            </w:r>
          </w:p>
        </w:tc>
        <w:tc>
          <w:tcPr>
            <w:tcW w:w="582" w:type="dxa"/>
            <w:vMerge w:val="restart"/>
            <w:vAlign w:val="center"/>
          </w:tcPr>
          <w:p>
            <w:pPr>
              <w:widowControl/>
              <w:jc w:val="center"/>
              <w:rPr>
                <w:rFonts w:ascii="Arial" w:hAnsi="Arial" w:cs="Arial"/>
                <w:kern w:val="0"/>
                <w:sz w:val="20"/>
              </w:rPr>
            </w:pPr>
            <w:r>
              <w:rPr>
                <w:rFonts w:ascii="Arial" w:hAnsi="Arial" w:cs="Arial"/>
                <w:kern w:val="0"/>
                <w:sz w:val="20"/>
              </w:rPr>
              <w:t>6</w:t>
            </w:r>
          </w:p>
        </w:tc>
        <w:tc>
          <w:tcPr>
            <w:tcW w:w="1341" w:type="dxa"/>
            <w:vAlign w:val="center"/>
          </w:tcPr>
          <w:p>
            <w:pPr>
              <w:widowControl/>
              <w:jc w:val="left"/>
              <w:rPr>
                <w:rFonts w:ascii="宋体" w:hAnsi="宋体" w:cs="Arial"/>
                <w:kern w:val="0"/>
                <w:sz w:val="20"/>
              </w:rPr>
            </w:pPr>
            <w:r>
              <w:rPr>
                <w:rFonts w:hint="eastAsia" w:ascii="宋体" w:hAnsi="宋体" w:cs="Arial"/>
                <w:kern w:val="0"/>
                <w:sz w:val="20"/>
              </w:rPr>
              <w:t>（一）经费保障</w:t>
            </w:r>
          </w:p>
        </w:tc>
        <w:tc>
          <w:tcPr>
            <w:tcW w:w="607" w:type="dxa"/>
            <w:vAlign w:val="center"/>
          </w:tcPr>
          <w:p>
            <w:pPr>
              <w:widowControl/>
              <w:jc w:val="center"/>
              <w:rPr>
                <w:rFonts w:ascii="Arial" w:hAnsi="Arial" w:cs="Arial"/>
                <w:kern w:val="0"/>
                <w:sz w:val="20"/>
              </w:rPr>
            </w:pPr>
            <w:r>
              <w:rPr>
                <w:rFonts w:ascii="Arial" w:hAnsi="Arial" w:cs="Arial"/>
                <w:kern w:val="0"/>
                <w:sz w:val="20"/>
              </w:rPr>
              <w:t>2</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农产品质量安全经费比上一年度每增加一个百分点加0.1分，最多加2分。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（二）监督抽查</w:t>
            </w:r>
          </w:p>
        </w:tc>
        <w:tc>
          <w:tcPr>
            <w:tcW w:w="607" w:type="dxa"/>
            <w:vAlign w:val="center"/>
          </w:tcPr>
          <w:p>
            <w:pPr>
              <w:widowControl/>
              <w:jc w:val="center"/>
              <w:rPr>
                <w:rFonts w:ascii="Arial" w:hAnsi="Arial" w:cs="Arial"/>
                <w:kern w:val="0"/>
                <w:sz w:val="20"/>
              </w:rPr>
            </w:pPr>
            <w:r>
              <w:rPr>
                <w:rFonts w:ascii="Arial" w:hAnsi="Arial" w:cs="Arial"/>
                <w:kern w:val="0"/>
                <w:sz w:val="20"/>
              </w:rPr>
              <w:t>2</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监督抽查工作中发现含有禁限用物质不合格样品超过10个的，每个加0.1分，最多加2分。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根据相关文件、通知、检查记录、记录档案、总结、移交单等，并参考纪检部门、举报和舆情信息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8" w:hRule="atLeast"/>
          <w:tblHeader/>
        </w:trPr>
        <w:tc>
          <w:tcPr>
            <w:tcW w:w="1276" w:type="dxa"/>
            <w:vMerge w:val="continue"/>
            <w:vAlign w:val="center"/>
          </w:tcPr>
          <w:p>
            <w:pPr>
              <w:widowControl/>
              <w:jc w:val="left"/>
              <w:rPr>
                <w:rFonts w:ascii="宋体" w:hAnsi="宋体" w:cs="Arial"/>
                <w:kern w:val="0"/>
                <w:sz w:val="20"/>
              </w:rPr>
            </w:pPr>
          </w:p>
        </w:tc>
        <w:tc>
          <w:tcPr>
            <w:tcW w:w="582" w:type="dxa"/>
            <w:vMerge w:val="continue"/>
            <w:vAlign w:val="center"/>
          </w:tcPr>
          <w:p>
            <w:pPr>
              <w:widowControl/>
              <w:jc w:val="left"/>
              <w:rPr>
                <w:rFonts w:ascii="Arial" w:hAnsi="Arial" w:cs="Arial"/>
                <w:kern w:val="0"/>
                <w:sz w:val="20"/>
              </w:rPr>
            </w:pPr>
          </w:p>
        </w:tc>
        <w:tc>
          <w:tcPr>
            <w:tcW w:w="1341" w:type="dxa"/>
            <w:vAlign w:val="center"/>
          </w:tcPr>
          <w:p>
            <w:pPr>
              <w:widowControl/>
              <w:jc w:val="left"/>
              <w:rPr>
                <w:rFonts w:ascii="宋体" w:hAnsi="宋体" w:cs="Arial"/>
                <w:kern w:val="0"/>
                <w:sz w:val="20"/>
              </w:rPr>
            </w:pPr>
            <w:r>
              <w:rPr>
                <w:rFonts w:hint="eastAsia" w:ascii="宋体" w:hAnsi="宋体" w:cs="Arial"/>
                <w:kern w:val="0"/>
                <w:sz w:val="20"/>
              </w:rPr>
              <w:t>（三）执法办案</w:t>
            </w:r>
          </w:p>
        </w:tc>
        <w:tc>
          <w:tcPr>
            <w:tcW w:w="607" w:type="dxa"/>
            <w:vAlign w:val="center"/>
          </w:tcPr>
          <w:p>
            <w:pPr>
              <w:widowControl/>
              <w:jc w:val="center"/>
              <w:rPr>
                <w:rFonts w:ascii="Arial" w:hAnsi="Arial" w:cs="Arial"/>
                <w:kern w:val="0"/>
                <w:sz w:val="20"/>
              </w:rPr>
            </w:pPr>
            <w:r>
              <w:rPr>
                <w:rFonts w:ascii="Arial" w:hAnsi="Arial" w:cs="Arial"/>
                <w:kern w:val="0"/>
                <w:sz w:val="20"/>
              </w:rPr>
              <w:t>2</w:t>
            </w:r>
          </w:p>
        </w:tc>
        <w:tc>
          <w:tcPr>
            <w:tcW w:w="5948" w:type="dxa"/>
            <w:vAlign w:val="center"/>
          </w:tcPr>
          <w:p>
            <w:pPr>
              <w:widowControl/>
              <w:jc w:val="left"/>
              <w:rPr>
                <w:rFonts w:ascii="宋体" w:hAnsi="宋体" w:cs="Arial"/>
                <w:kern w:val="0"/>
                <w:sz w:val="20"/>
              </w:rPr>
            </w:pPr>
            <w:r>
              <w:rPr>
                <w:rFonts w:hint="eastAsia" w:ascii="宋体" w:hAnsi="宋体" w:cs="Arial"/>
                <w:kern w:val="0"/>
                <w:sz w:val="20"/>
              </w:rPr>
              <w:t>移送司法机关并在司法机关立案的农产品质量安全案件（不包括农资打假类）数超过5个的，每个案件加0.2分，最多加2分。</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63" w:type="dxa"/>
            <w:vAlign w:val="center"/>
          </w:tcPr>
          <w:p>
            <w:pPr>
              <w:widowControl/>
              <w:jc w:val="left"/>
              <w:rPr>
                <w:rFonts w:ascii="宋体" w:hAnsi="宋体" w:cs="Arial"/>
                <w:kern w:val="0"/>
                <w:sz w:val="20"/>
              </w:rPr>
            </w:pPr>
            <w:r>
              <w:rPr>
                <w:rFonts w:hint="eastAsia" w:ascii="宋体" w:hAnsi="宋体" w:cs="Arial"/>
                <w:kern w:val="0"/>
                <w:sz w:val="20"/>
              </w:rPr>
              <w:t>　</w:t>
            </w:r>
          </w:p>
        </w:tc>
        <w:tc>
          <w:tcPr>
            <w:tcW w:w="440" w:type="dxa"/>
            <w:vAlign w:val="center"/>
          </w:tcPr>
          <w:p>
            <w:pPr>
              <w:widowControl/>
              <w:jc w:val="left"/>
              <w:rPr>
                <w:rFonts w:ascii="宋体" w:hAnsi="宋体" w:cs="Arial"/>
                <w:kern w:val="0"/>
                <w:sz w:val="20"/>
              </w:rPr>
            </w:pPr>
            <w:r>
              <w:rPr>
                <w:rFonts w:hint="eastAsia" w:ascii="宋体" w:hAnsi="宋体" w:cs="Arial"/>
                <w:kern w:val="0"/>
                <w:sz w:val="20"/>
              </w:rPr>
              <w:t>　</w:t>
            </w:r>
          </w:p>
        </w:tc>
        <w:tc>
          <w:tcPr>
            <w:tcW w:w="486" w:type="dxa"/>
            <w:vAlign w:val="center"/>
          </w:tcPr>
          <w:p>
            <w:pPr>
              <w:widowControl/>
              <w:jc w:val="left"/>
              <w:rPr>
                <w:rFonts w:ascii="宋体" w:hAnsi="宋体" w:cs="Arial"/>
                <w:kern w:val="0"/>
                <w:sz w:val="20"/>
              </w:rPr>
            </w:pPr>
            <w:r>
              <w:rPr>
                <w:rFonts w:hint="eastAsia" w:ascii="宋体" w:hAnsi="宋体" w:cs="Arial"/>
                <w:kern w:val="0"/>
                <w:sz w:val="20"/>
              </w:rPr>
              <w:t>　</w:t>
            </w:r>
          </w:p>
        </w:tc>
        <w:tc>
          <w:tcPr>
            <w:tcW w:w="2474" w:type="dxa"/>
            <w:vAlign w:val="center"/>
          </w:tcPr>
          <w:p>
            <w:pPr>
              <w:widowControl/>
              <w:jc w:val="left"/>
              <w:rPr>
                <w:rFonts w:ascii="宋体" w:hAnsi="宋体" w:cs="Arial"/>
                <w:kern w:val="0"/>
                <w:sz w:val="20"/>
              </w:rPr>
            </w:pPr>
            <w:r>
              <w:rPr>
                <w:rFonts w:hint="eastAsia" w:ascii="宋体" w:hAnsi="宋体" w:cs="Arial"/>
                <w:kern w:val="0"/>
                <w:sz w:val="20"/>
              </w:rPr>
              <w:t>根据相关文件、通知、检查记录、记录档案、总结、移交单等，并参考纪检部门、举报和舆情信息</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25DAD"/>
    <w:rsid w:val="43E2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2018-01-02T06:12:00Z</dcterms:created>
  <dc:creator>踮脚、慕爱</dc:creator>
  <cp:lastModifiedBy>踮脚、慕爱</cp:lastModifiedBy>
  <dcterms:modified xsi:type="dcterms:W3CDTF">2018-01-02T06:12:46Z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