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方正小标宋简体" w:eastAsia="方正小标宋简体"/>
          <w:sz w:val="36"/>
          <w:szCs w:val="36"/>
        </w:rPr>
      </w:pPr>
      <w:r>
        <w:rPr>
          <w:rFonts w:hint="eastAsia" w:ascii="方正小标宋简体" w:eastAsia="方正小标宋简体"/>
          <w:sz w:val="36"/>
          <w:szCs w:val="36"/>
        </w:rPr>
        <w:t>农业部2017年度加强农产品质量安全监管延伸绩效管理指标体系</w:t>
      </w:r>
    </w:p>
    <w:tbl>
      <w:tblPr>
        <w:tblStyle w:val="3"/>
        <w:tblpPr w:leftFromText="180" w:rightFromText="180" w:vertAnchor="text" w:tblpX="93" w:tblpY="1"/>
        <w:tblOverlap w:val="never"/>
        <w:tblW w:w="14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582"/>
        <w:gridCol w:w="1341"/>
        <w:gridCol w:w="607"/>
        <w:gridCol w:w="5948"/>
        <w:gridCol w:w="463"/>
        <w:gridCol w:w="463"/>
        <w:gridCol w:w="440"/>
        <w:gridCol w:w="486"/>
        <w:gridCol w:w="2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exact"/>
          <w:tblHeader/>
        </w:trPr>
        <w:tc>
          <w:tcPr>
            <w:tcW w:w="1276"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一级指标</w:t>
            </w:r>
          </w:p>
        </w:tc>
        <w:tc>
          <w:tcPr>
            <w:tcW w:w="582"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分值</w:t>
            </w:r>
          </w:p>
        </w:tc>
        <w:tc>
          <w:tcPr>
            <w:tcW w:w="1341"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二级指标</w:t>
            </w:r>
          </w:p>
        </w:tc>
        <w:tc>
          <w:tcPr>
            <w:tcW w:w="607"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分值</w:t>
            </w:r>
          </w:p>
        </w:tc>
        <w:tc>
          <w:tcPr>
            <w:tcW w:w="5948"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评分标准</w:t>
            </w:r>
          </w:p>
        </w:tc>
        <w:tc>
          <w:tcPr>
            <w:tcW w:w="1366" w:type="dxa"/>
            <w:gridSpan w:val="3"/>
            <w:vAlign w:val="center"/>
          </w:tcPr>
          <w:p>
            <w:pPr>
              <w:widowControl/>
              <w:adjustRightInd w:val="0"/>
              <w:snapToGrid w:val="0"/>
              <w:jc w:val="center"/>
              <w:rPr>
                <w:rFonts w:ascii="宋体" w:hAnsi="宋体" w:cs="Arial"/>
                <w:b/>
                <w:bCs/>
                <w:kern w:val="0"/>
                <w:sz w:val="20"/>
              </w:rPr>
            </w:pPr>
            <w:r>
              <w:rPr>
                <w:rFonts w:hint="eastAsia" w:ascii="宋体" w:hAnsi="宋体" w:cs="Arial"/>
                <w:b/>
                <w:bCs/>
                <w:kern w:val="0"/>
                <w:sz w:val="20"/>
              </w:rPr>
              <w:t>自评</w:t>
            </w:r>
          </w:p>
        </w:tc>
        <w:tc>
          <w:tcPr>
            <w:tcW w:w="486"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自评依据　</w:t>
            </w:r>
          </w:p>
        </w:tc>
        <w:tc>
          <w:tcPr>
            <w:tcW w:w="2474" w:type="dxa"/>
            <w:vMerge w:val="restart"/>
            <w:vAlign w:val="center"/>
          </w:tcPr>
          <w:p>
            <w:pPr>
              <w:widowControl/>
              <w:jc w:val="center"/>
              <w:rPr>
                <w:rFonts w:ascii="宋体" w:hAnsi="宋体" w:cs="Arial"/>
                <w:b/>
                <w:bCs/>
                <w:kern w:val="0"/>
                <w:sz w:val="20"/>
              </w:rPr>
            </w:pPr>
            <w:r>
              <w:rPr>
                <w:rFonts w:hint="eastAsia" w:ascii="宋体" w:hAnsi="宋体" w:cs="Arial"/>
                <w:b/>
                <w:bCs/>
                <w:kern w:val="0"/>
                <w:sz w:val="20"/>
              </w:rPr>
              <w:t>考核依据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center"/>
              <w:rPr>
                <w:rFonts w:hint="eastAsia" w:ascii="宋体" w:hAnsi="宋体" w:cs="Arial"/>
                <w:b/>
                <w:bCs/>
                <w:kern w:val="0"/>
                <w:sz w:val="20"/>
              </w:rPr>
            </w:pPr>
          </w:p>
        </w:tc>
        <w:tc>
          <w:tcPr>
            <w:tcW w:w="582" w:type="dxa"/>
            <w:vMerge w:val="continue"/>
            <w:vAlign w:val="center"/>
          </w:tcPr>
          <w:p>
            <w:pPr>
              <w:widowControl/>
              <w:jc w:val="center"/>
              <w:rPr>
                <w:rFonts w:hint="eastAsia" w:ascii="宋体" w:hAnsi="宋体" w:cs="Arial"/>
                <w:b/>
                <w:bCs/>
                <w:kern w:val="0"/>
                <w:sz w:val="20"/>
              </w:rPr>
            </w:pPr>
          </w:p>
        </w:tc>
        <w:tc>
          <w:tcPr>
            <w:tcW w:w="1341" w:type="dxa"/>
            <w:vMerge w:val="continue"/>
            <w:vAlign w:val="center"/>
          </w:tcPr>
          <w:p>
            <w:pPr>
              <w:widowControl/>
              <w:jc w:val="center"/>
              <w:rPr>
                <w:rFonts w:hint="eastAsia" w:ascii="宋体" w:hAnsi="宋体" w:cs="Arial"/>
                <w:b/>
                <w:bCs/>
                <w:kern w:val="0"/>
                <w:sz w:val="20"/>
              </w:rPr>
            </w:pPr>
          </w:p>
        </w:tc>
        <w:tc>
          <w:tcPr>
            <w:tcW w:w="607" w:type="dxa"/>
            <w:vMerge w:val="continue"/>
            <w:vAlign w:val="center"/>
          </w:tcPr>
          <w:p>
            <w:pPr>
              <w:widowControl/>
              <w:jc w:val="center"/>
              <w:rPr>
                <w:rFonts w:hint="eastAsia" w:ascii="宋体" w:hAnsi="宋体" w:cs="Arial"/>
                <w:b/>
                <w:bCs/>
                <w:kern w:val="0"/>
                <w:sz w:val="20"/>
              </w:rPr>
            </w:pPr>
          </w:p>
        </w:tc>
        <w:tc>
          <w:tcPr>
            <w:tcW w:w="5948" w:type="dxa"/>
            <w:vMerge w:val="continue"/>
            <w:vAlign w:val="center"/>
          </w:tcPr>
          <w:p>
            <w:pPr>
              <w:widowControl/>
              <w:jc w:val="center"/>
              <w:rPr>
                <w:rFonts w:hint="eastAsia" w:ascii="宋体" w:hAnsi="宋体" w:cs="Arial"/>
                <w:b/>
                <w:bCs/>
                <w:kern w:val="0"/>
                <w:sz w:val="20"/>
              </w:rPr>
            </w:pPr>
          </w:p>
        </w:tc>
        <w:tc>
          <w:tcPr>
            <w:tcW w:w="463" w:type="dxa"/>
            <w:vAlign w:val="center"/>
          </w:tcPr>
          <w:p>
            <w:pPr>
              <w:widowControl/>
              <w:jc w:val="center"/>
              <w:rPr>
                <w:rFonts w:hint="eastAsia" w:ascii="宋体" w:hAnsi="宋体" w:cs="Arial"/>
                <w:b/>
                <w:bCs/>
                <w:kern w:val="0"/>
                <w:sz w:val="20"/>
              </w:rPr>
            </w:pPr>
            <w:r>
              <w:rPr>
                <w:rFonts w:hint="eastAsia" w:ascii="宋体" w:hAnsi="宋体" w:cs="Arial"/>
                <w:b/>
                <w:bCs/>
                <w:kern w:val="0"/>
                <w:sz w:val="20"/>
              </w:rPr>
              <w:t>基础分</w:t>
            </w:r>
          </w:p>
        </w:tc>
        <w:tc>
          <w:tcPr>
            <w:tcW w:w="463" w:type="dxa"/>
            <w:vAlign w:val="center"/>
          </w:tcPr>
          <w:p>
            <w:pPr>
              <w:widowControl/>
              <w:jc w:val="center"/>
              <w:rPr>
                <w:rFonts w:hint="eastAsia" w:ascii="宋体" w:hAnsi="宋体" w:cs="Arial"/>
                <w:b/>
                <w:bCs/>
                <w:kern w:val="0"/>
                <w:sz w:val="20"/>
              </w:rPr>
            </w:pPr>
            <w:r>
              <w:rPr>
                <w:rFonts w:hint="eastAsia" w:ascii="宋体" w:hAnsi="宋体" w:cs="Arial"/>
                <w:b/>
                <w:bCs/>
                <w:kern w:val="0"/>
                <w:sz w:val="20"/>
              </w:rPr>
              <w:t>效果分</w:t>
            </w:r>
          </w:p>
        </w:tc>
        <w:tc>
          <w:tcPr>
            <w:tcW w:w="440" w:type="dxa"/>
            <w:vAlign w:val="center"/>
          </w:tcPr>
          <w:p>
            <w:pPr>
              <w:widowControl/>
              <w:jc w:val="center"/>
              <w:rPr>
                <w:rFonts w:hint="eastAsia" w:ascii="宋体" w:hAnsi="宋体" w:cs="Arial"/>
                <w:b/>
                <w:bCs/>
                <w:kern w:val="0"/>
                <w:sz w:val="20"/>
              </w:rPr>
            </w:pPr>
            <w:r>
              <w:rPr>
                <w:rFonts w:hint="eastAsia" w:ascii="宋体" w:hAnsi="宋体" w:cs="Arial"/>
                <w:b/>
                <w:bCs/>
                <w:kern w:val="0"/>
                <w:sz w:val="20"/>
              </w:rPr>
              <w:t>得</w:t>
            </w:r>
          </w:p>
          <w:p>
            <w:pPr>
              <w:widowControl/>
              <w:jc w:val="center"/>
              <w:rPr>
                <w:rFonts w:hint="eastAsia" w:ascii="宋体" w:hAnsi="宋体" w:cs="Arial"/>
                <w:b/>
                <w:bCs/>
                <w:kern w:val="0"/>
                <w:sz w:val="20"/>
              </w:rPr>
            </w:pPr>
            <w:r>
              <w:rPr>
                <w:rFonts w:hint="eastAsia" w:ascii="宋体" w:hAnsi="宋体" w:cs="Arial"/>
                <w:b/>
                <w:bCs/>
                <w:kern w:val="0"/>
                <w:sz w:val="20"/>
              </w:rPr>
              <w:t xml:space="preserve">   </w:t>
            </w:r>
          </w:p>
          <w:p>
            <w:pPr>
              <w:widowControl/>
              <w:jc w:val="center"/>
              <w:rPr>
                <w:rFonts w:hint="eastAsia" w:ascii="宋体" w:hAnsi="宋体" w:cs="Arial"/>
                <w:b/>
                <w:bCs/>
                <w:kern w:val="0"/>
                <w:sz w:val="20"/>
              </w:rPr>
            </w:pPr>
            <w:r>
              <w:rPr>
                <w:rFonts w:hint="eastAsia" w:ascii="宋体" w:hAnsi="宋体" w:cs="Arial"/>
                <w:b/>
                <w:bCs/>
                <w:kern w:val="0"/>
                <w:sz w:val="20"/>
              </w:rPr>
              <w:t>分</w:t>
            </w:r>
          </w:p>
        </w:tc>
        <w:tc>
          <w:tcPr>
            <w:tcW w:w="486" w:type="dxa"/>
            <w:vMerge w:val="continue"/>
            <w:vAlign w:val="center"/>
          </w:tcPr>
          <w:p>
            <w:pPr>
              <w:widowControl/>
              <w:jc w:val="center"/>
              <w:rPr>
                <w:rFonts w:hint="eastAsia" w:ascii="宋体" w:hAnsi="宋体" w:cs="Arial"/>
                <w:b/>
                <w:bCs/>
                <w:kern w:val="0"/>
                <w:sz w:val="20"/>
              </w:rPr>
            </w:pPr>
          </w:p>
        </w:tc>
        <w:tc>
          <w:tcPr>
            <w:tcW w:w="2474" w:type="dxa"/>
            <w:vMerge w:val="continue"/>
            <w:vAlign w:val="center"/>
          </w:tcPr>
          <w:p>
            <w:pPr>
              <w:widowControl/>
              <w:jc w:val="center"/>
              <w:rPr>
                <w:rFonts w:hint="eastAsia" w:ascii="宋体" w:hAnsi="宋体" w:cs="Arial"/>
                <w:b/>
                <w:bCs/>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7"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一、加强延伸绩效管理工作责任落实和政策保障</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16</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（一）落实属地责任</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将农产品质量安全纳入省级人民政府绩效管理考核范围，纳入得1分，未纳入不得分。2.采取措施推动地县级将农产品质量安全纳入人民政府考核范围，开展工作得1分，未开展不得分。3.省级人民政府对农产品质量安全工作进行部署，开展工作得1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根据相关文件、通知、纪要等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7"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（二）健全工作机构</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成立省级加强农产品质量安全监管延伸绩效管理领导小组，由主要负责同志亲自抓，成立得1分，未成立不得分。2.省级领导小组积极履行职责并切实开展工作，开展工作得1分，未开展不得分。3.采取措施推动成立地县级农产品质量安全监管工作领导机构，开展工作得1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根据相关文件、通知、纪要等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（三）制定实施方案</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制定农产品质量安全延伸绩效管理实施方案，制定得2分，未制定不得分。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根据具体实施方案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（四）强化过程督导</w:t>
            </w:r>
          </w:p>
        </w:tc>
        <w:tc>
          <w:tcPr>
            <w:tcW w:w="607" w:type="dxa"/>
            <w:vAlign w:val="center"/>
          </w:tcPr>
          <w:p>
            <w:pPr>
              <w:widowControl/>
              <w:jc w:val="center"/>
              <w:rPr>
                <w:rFonts w:ascii="Arial" w:hAnsi="Arial" w:cs="Arial"/>
                <w:kern w:val="0"/>
                <w:sz w:val="20"/>
              </w:rPr>
            </w:pPr>
            <w:r>
              <w:rPr>
                <w:rFonts w:ascii="Arial" w:hAnsi="Arial" w:cs="Arial"/>
                <w:kern w:val="0"/>
                <w:sz w:val="20"/>
              </w:rPr>
              <w:t>1</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强化动态管理，加强对延伸绩效管理工作的督导检查并进行阶段性总结。开展督导检查并进行阶段总结得1分，未开展不得分。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根据相关通知、总结等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（五）报送基本信息</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根据《关于加强农产品质量安全监管信息报送工作的通知》（农质综函[2016]第260号）要求，每季度按时报送《农产品质量安全基本情况数据统计表》，每按时报送1次得0.5分，最多得2分，逾期报送、未报送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根据报送的统计表格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（六）加强经费保障</w:t>
            </w:r>
          </w:p>
        </w:tc>
        <w:tc>
          <w:tcPr>
            <w:tcW w:w="607" w:type="dxa"/>
            <w:vAlign w:val="center"/>
          </w:tcPr>
          <w:p>
            <w:pPr>
              <w:widowControl/>
              <w:snapToGrid w:val="0"/>
              <w:spacing w:line="300" w:lineRule="exact"/>
              <w:jc w:val="center"/>
              <w:rPr>
                <w:rFonts w:ascii="Arial" w:hAnsi="Arial" w:cs="Arial"/>
                <w:kern w:val="0"/>
                <w:sz w:val="20"/>
              </w:rPr>
            </w:pPr>
            <w:r>
              <w:rPr>
                <w:rFonts w:ascii="Arial" w:hAnsi="Arial" w:cs="Arial"/>
                <w:kern w:val="0"/>
                <w:sz w:val="20"/>
              </w:rPr>
              <w:t>3</w:t>
            </w:r>
          </w:p>
        </w:tc>
        <w:tc>
          <w:tcPr>
            <w:tcW w:w="5948"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1.将农产品质量安全监管、监测、执法等工作经费纳入省级人民政府财政预算，纳入得1分，未纳入不得分。2.采取措施推动将农产品质量安全监管、监测、执法等工作经费纳入地县级人民政府财政预算，开展工作得1分，未开展不得分。3.省级农产品质量安全监管经费保持上一年度水平的，得基础满分1分。</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根据相关文件、通知等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（七）积极开拓创新</w:t>
            </w:r>
          </w:p>
        </w:tc>
        <w:tc>
          <w:tcPr>
            <w:tcW w:w="607" w:type="dxa"/>
            <w:vAlign w:val="center"/>
          </w:tcPr>
          <w:p>
            <w:pPr>
              <w:widowControl/>
              <w:snapToGrid w:val="0"/>
              <w:spacing w:line="300" w:lineRule="exact"/>
              <w:jc w:val="center"/>
              <w:rPr>
                <w:rFonts w:ascii="Arial" w:hAnsi="Arial" w:cs="Arial"/>
                <w:kern w:val="0"/>
                <w:sz w:val="20"/>
              </w:rPr>
            </w:pPr>
            <w:r>
              <w:rPr>
                <w:rFonts w:ascii="Arial" w:hAnsi="Arial" w:cs="Arial"/>
                <w:kern w:val="0"/>
                <w:sz w:val="20"/>
              </w:rPr>
              <w:t>2</w:t>
            </w:r>
          </w:p>
        </w:tc>
        <w:tc>
          <w:tcPr>
            <w:tcW w:w="5948"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在加强农产品质量安全监管方面出台地方政策、创新工作方法、取得工作成效有亮点的，每项加1分，最多加2分。</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根据相关文件、通知等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二、加强农产品质量安全执法监管</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18</w:t>
            </w:r>
          </w:p>
        </w:tc>
        <w:tc>
          <w:tcPr>
            <w:tcW w:w="1341"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（一）制定整治工作方案</w:t>
            </w:r>
          </w:p>
        </w:tc>
        <w:tc>
          <w:tcPr>
            <w:tcW w:w="607" w:type="dxa"/>
            <w:vAlign w:val="center"/>
          </w:tcPr>
          <w:p>
            <w:pPr>
              <w:widowControl/>
              <w:snapToGrid w:val="0"/>
              <w:spacing w:line="300" w:lineRule="exact"/>
              <w:jc w:val="center"/>
              <w:rPr>
                <w:rFonts w:ascii="Arial" w:hAnsi="Arial" w:cs="Arial"/>
                <w:kern w:val="0"/>
                <w:sz w:val="20"/>
              </w:rPr>
            </w:pPr>
            <w:r>
              <w:rPr>
                <w:rFonts w:ascii="Arial" w:hAnsi="Arial" w:cs="Arial"/>
                <w:kern w:val="0"/>
                <w:sz w:val="20"/>
              </w:rPr>
              <w:t>2</w:t>
            </w:r>
          </w:p>
        </w:tc>
        <w:tc>
          <w:tcPr>
            <w:tcW w:w="5948"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制定专项整治详细工作方案，有针对性开展整治，明确工作进度和时间安排，制定得2分，未制定不得分。</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根据具体方案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5"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（二）开展风险隐患排查和日常巡查检查工作</w:t>
            </w:r>
          </w:p>
        </w:tc>
        <w:tc>
          <w:tcPr>
            <w:tcW w:w="607" w:type="dxa"/>
            <w:vAlign w:val="center"/>
          </w:tcPr>
          <w:p>
            <w:pPr>
              <w:widowControl/>
              <w:snapToGrid w:val="0"/>
              <w:spacing w:line="300" w:lineRule="exact"/>
              <w:jc w:val="center"/>
              <w:rPr>
                <w:rFonts w:ascii="Arial" w:hAnsi="Arial" w:cs="Arial"/>
                <w:kern w:val="0"/>
                <w:sz w:val="20"/>
              </w:rPr>
            </w:pPr>
            <w:r>
              <w:rPr>
                <w:rFonts w:ascii="Arial" w:hAnsi="Arial" w:cs="Arial"/>
                <w:kern w:val="0"/>
                <w:sz w:val="20"/>
              </w:rPr>
              <w:t>3</w:t>
            </w:r>
          </w:p>
        </w:tc>
        <w:tc>
          <w:tcPr>
            <w:tcW w:w="5948"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1.建立和完善日常巡查检查制度，建立制度得1分，未建立不得分。2.根据风险监测和日常巡查结果，围绕重点行业、重点环节、重点领域、重点时段开展风险隐患排查，开展工作得1分，未开展不得分。3.督促生产企业、合作社、家庭农场、屠宰厂（场）落实禁限用规定、高毒农药定点经营实名购买、安全生产休药间隔期和生产档案记录4项制度，开展工作得1分，未开展不得分。</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根据相关文件、通知、检查记录、总结等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（三）加大监督抽查力度</w:t>
            </w:r>
          </w:p>
        </w:tc>
        <w:tc>
          <w:tcPr>
            <w:tcW w:w="607" w:type="dxa"/>
            <w:vAlign w:val="center"/>
          </w:tcPr>
          <w:p>
            <w:pPr>
              <w:widowControl/>
              <w:snapToGrid w:val="0"/>
              <w:spacing w:line="300" w:lineRule="exact"/>
              <w:jc w:val="center"/>
              <w:rPr>
                <w:rFonts w:ascii="Arial" w:hAnsi="Arial" w:cs="Arial"/>
                <w:kern w:val="0"/>
                <w:sz w:val="20"/>
              </w:rPr>
            </w:pPr>
            <w:r>
              <w:rPr>
                <w:rFonts w:hint="eastAsia" w:ascii="Arial" w:hAnsi="Arial" w:cs="Arial"/>
                <w:kern w:val="0"/>
                <w:sz w:val="20"/>
              </w:rPr>
              <w:t>4</w:t>
            </w:r>
          </w:p>
        </w:tc>
        <w:tc>
          <w:tcPr>
            <w:tcW w:w="5948"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1.省级农业行政部门配合国家级或组织开展省级农产品质量安全监督抽查的，得1分，未开展不得分。2.发现含有禁限用物质的不合格样品，每个加0.2分，最高得2分。3.推动县级以上农业部门建立生产企业、合作社、家庭农场、屠宰厂（场）等规模生产经营主体监管名录，建立名录得1分，未建立不得分。</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根据相关文件、通知、检查记录、记录档案、总结、移交单等，并参考纪检部门、举报和舆情信息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0"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（四）狠抓执法办案</w:t>
            </w:r>
          </w:p>
        </w:tc>
        <w:tc>
          <w:tcPr>
            <w:tcW w:w="607" w:type="dxa"/>
            <w:vAlign w:val="center"/>
          </w:tcPr>
          <w:p>
            <w:pPr>
              <w:widowControl/>
              <w:snapToGrid w:val="0"/>
              <w:spacing w:line="300" w:lineRule="exact"/>
              <w:jc w:val="center"/>
              <w:rPr>
                <w:rFonts w:ascii="Arial" w:hAnsi="Arial" w:cs="Arial"/>
                <w:kern w:val="0"/>
                <w:sz w:val="20"/>
              </w:rPr>
            </w:pPr>
            <w:r>
              <w:rPr>
                <w:rFonts w:ascii="Arial" w:hAnsi="Arial" w:cs="Arial"/>
                <w:kern w:val="0"/>
                <w:sz w:val="20"/>
              </w:rPr>
              <w:t>4</w:t>
            </w:r>
          </w:p>
        </w:tc>
        <w:tc>
          <w:tcPr>
            <w:tcW w:w="5948"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1.积极开展农产品质量安全执法（不包括农资打假类），移送司法机关并在司法机关立案的，每个案件加0.4分，最多得2分；出现或发现应处罚未处罚或不符合减轻处罚规定而减轻处罚、应移送未移送等情形的，本项不得分。2.公布本省年度农资打假典型案件，得2分，未公布不得分。</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300" w:lineRule="exact"/>
              <w:jc w:val="left"/>
              <w:rPr>
                <w:rFonts w:ascii="宋体" w:hAnsi="宋体" w:cs="Arial"/>
                <w:kern w:val="0"/>
                <w:sz w:val="20"/>
              </w:rPr>
            </w:pPr>
            <w:r>
              <w:rPr>
                <w:rFonts w:hint="eastAsia" w:ascii="宋体" w:hAnsi="宋体" w:cs="Arial"/>
                <w:kern w:val="0"/>
                <w:sz w:val="20"/>
              </w:rPr>
              <w:t>1.根据相关文件、通知、检查记录、记录档案、总结、移交单等，并参考纪检部门、举报和舆情信息。2.以本省公布典型案件的文件为准。以农业部门案件移送函和公安机关立案接收函为准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（五）推进社会共治</w:t>
            </w:r>
          </w:p>
        </w:tc>
        <w:tc>
          <w:tcPr>
            <w:tcW w:w="607" w:type="dxa"/>
            <w:vAlign w:val="center"/>
          </w:tcPr>
          <w:p>
            <w:pPr>
              <w:widowControl/>
              <w:snapToGrid w:val="0"/>
              <w:spacing w:line="280" w:lineRule="exact"/>
              <w:jc w:val="center"/>
              <w:rPr>
                <w:rFonts w:ascii="Arial" w:hAnsi="Arial" w:cs="Arial"/>
                <w:kern w:val="0"/>
                <w:sz w:val="20"/>
              </w:rPr>
            </w:pPr>
            <w:r>
              <w:rPr>
                <w:rFonts w:ascii="Arial" w:hAnsi="Arial" w:cs="Arial"/>
                <w:kern w:val="0"/>
                <w:sz w:val="20"/>
              </w:rPr>
              <w:t>3</w:t>
            </w:r>
          </w:p>
        </w:tc>
        <w:tc>
          <w:tcPr>
            <w:tcW w:w="5948"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1.建立农产品质量安全投诉举报制度，建立得1分，未建立不得分。2.建设农产品质量安全守信褒奖和失信惩戒机制，建立得1分，未建立不得分。3.建立农资和农产品生产经营主体信用档案，建立得1分，未建立不得分。</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热线测试，相关文件、通知等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（六）按时报送整治打假信息</w:t>
            </w:r>
          </w:p>
        </w:tc>
        <w:tc>
          <w:tcPr>
            <w:tcW w:w="607" w:type="dxa"/>
            <w:vAlign w:val="center"/>
          </w:tcPr>
          <w:p>
            <w:pPr>
              <w:widowControl/>
              <w:snapToGrid w:val="0"/>
              <w:spacing w:line="280" w:lineRule="exact"/>
              <w:jc w:val="center"/>
              <w:rPr>
                <w:rFonts w:ascii="Arial" w:hAnsi="Arial" w:cs="Arial"/>
                <w:kern w:val="0"/>
                <w:sz w:val="20"/>
              </w:rPr>
            </w:pPr>
            <w:r>
              <w:rPr>
                <w:rFonts w:ascii="Arial" w:hAnsi="Arial" w:cs="Arial"/>
                <w:kern w:val="0"/>
                <w:sz w:val="20"/>
              </w:rPr>
              <w:t>2</w:t>
            </w:r>
          </w:p>
        </w:tc>
        <w:tc>
          <w:tcPr>
            <w:tcW w:w="5948"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1.及时上报专项整治常规信息，满分1分，每延迟上报1次扣0.25分，不报1次扣0.5分，扣完为止。2.及时按月报送农资打假统计报表，满分1分，每延迟上报1次扣0.25分，不报1次扣0.5分，扣完为止。</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根据相关信息、报表等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三、加大农产品质量安全监测和质检体系建设力度</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15</w:t>
            </w:r>
          </w:p>
        </w:tc>
        <w:tc>
          <w:tcPr>
            <w:tcW w:w="1341"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（一）开展省级监测工作</w:t>
            </w:r>
          </w:p>
        </w:tc>
        <w:tc>
          <w:tcPr>
            <w:tcW w:w="607" w:type="dxa"/>
            <w:vAlign w:val="center"/>
          </w:tcPr>
          <w:p>
            <w:pPr>
              <w:widowControl/>
              <w:snapToGrid w:val="0"/>
              <w:spacing w:line="280" w:lineRule="exact"/>
              <w:jc w:val="center"/>
              <w:rPr>
                <w:rFonts w:ascii="Arial" w:hAnsi="Arial" w:cs="Arial"/>
                <w:kern w:val="0"/>
                <w:sz w:val="20"/>
              </w:rPr>
            </w:pPr>
            <w:r>
              <w:rPr>
                <w:rFonts w:ascii="Arial" w:hAnsi="Arial" w:cs="Arial"/>
                <w:kern w:val="0"/>
                <w:sz w:val="20"/>
              </w:rPr>
              <w:t>3</w:t>
            </w:r>
          </w:p>
        </w:tc>
        <w:tc>
          <w:tcPr>
            <w:tcW w:w="5948"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组织开展本辖区范围内农产品质量安全监测工作3分。分档如下：省（区、市）、市（地、州）、县（区）均开展了农产品质量安全监测工作的，得3分；仅省级和地市级开展监测工作的，得2分；仅开展了省级农产品质量安全监测工作的，得1分；省、市、县均没有开展的，不得分。</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根据相关文件、通知等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（二）监测数据报送</w:t>
            </w:r>
          </w:p>
        </w:tc>
        <w:tc>
          <w:tcPr>
            <w:tcW w:w="607" w:type="dxa"/>
            <w:vAlign w:val="center"/>
          </w:tcPr>
          <w:p>
            <w:pPr>
              <w:widowControl/>
              <w:snapToGrid w:val="0"/>
              <w:spacing w:line="280" w:lineRule="exact"/>
              <w:jc w:val="center"/>
              <w:rPr>
                <w:rFonts w:ascii="Arial" w:hAnsi="Arial" w:cs="Arial"/>
                <w:kern w:val="0"/>
                <w:sz w:val="20"/>
              </w:rPr>
            </w:pPr>
            <w:r>
              <w:rPr>
                <w:rFonts w:ascii="Arial" w:hAnsi="Arial" w:cs="Arial"/>
                <w:kern w:val="0"/>
                <w:sz w:val="20"/>
              </w:rPr>
              <w:t>1</w:t>
            </w:r>
          </w:p>
        </w:tc>
        <w:tc>
          <w:tcPr>
            <w:tcW w:w="5948"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省级农产品质量安全监测数据报送1分。各省（区、市）每季度（次）省级农产品质量安全监测工作完成后，及时通过“全国农产品质量安全风险监测信息管理系统（网址：www.xxgl.madc.org.cn）”向农业部农产品质量安全监管局报送监测数据的，得1分；每少报一次扣0.1分，最多扣1分；不上报不得分。</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根据管理系统数据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6"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（三）检测体系建设</w:t>
            </w:r>
          </w:p>
        </w:tc>
        <w:tc>
          <w:tcPr>
            <w:tcW w:w="607" w:type="dxa"/>
            <w:vAlign w:val="center"/>
          </w:tcPr>
          <w:p>
            <w:pPr>
              <w:widowControl/>
              <w:snapToGrid w:val="0"/>
              <w:spacing w:line="280" w:lineRule="exact"/>
              <w:jc w:val="center"/>
              <w:rPr>
                <w:rFonts w:ascii="Arial" w:hAnsi="Arial" w:cs="Arial"/>
                <w:kern w:val="0"/>
                <w:sz w:val="20"/>
              </w:rPr>
            </w:pPr>
            <w:r>
              <w:rPr>
                <w:rFonts w:ascii="Arial" w:hAnsi="Arial" w:cs="Arial"/>
                <w:kern w:val="0"/>
                <w:sz w:val="20"/>
              </w:rPr>
              <w:t>2</w:t>
            </w:r>
          </w:p>
        </w:tc>
        <w:tc>
          <w:tcPr>
            <w:tcW w:w="5948"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农产品质量安全检验检测体系建设2分。《全国农产品质量安全检验检测体系建设规划（2006-2010）》《全国农产品质量安全检验检测体系建设规划（2011-2015）》投资建设的各省（区、市）所有农产品质检体系建设项目完成竣工验收60%（含）以上的得2分，达到50%（含）以上的得1.5分，40%（含）以上的得1分，39%以下的不得分。</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根据最终出具的验收结果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（四）检测机构考核</w:t>
            </w:r>
          </w:p>
        </w:tc>
        <w:tc>
          <w:tcPr>
            <w:tcW w:w="607" w:type="dxa"/>
            <w:vAlign w:val="center"/>
          </w:tcPr>
          <w:p>
            <w:pPr>
              <w:widowControl/>
              <w:snapToGrid w:val="0"/>
              <w:spacing w:line="280" w:lineRule="exact"/>
              <w:jc w:val="center"/>
              <w:rPr>
                <w:rFonts w:ascii="Arial" w:hAnsi="Arial" w:cs="Arial"/>
                <w:kern w:val="0"/>
                <w:sz w:val="20"/>
              </w:rPr>
            </w:pPr>
            <w:r>
              <w:rPr>
                <w:rFonts w:ascii="Arial" w:hAnsi="Arial" w:cs="Arial"/>
                <w:kern w:val="0"/>
                <w:sz w:val="20"/>
              </w:rPr>
              <w:t>2</w:t>
            </w:r>
          </w:p>
        </w:tc>
        <w:tc>
          <w:tcPr>
            <w:tcW w:w="5948"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农产品质量安全检验检测机构考核2分。分档如下：组织开展了本省（区、市）省级农产品质量安全检测机构考核工作的得1分。按规定完成当年全部申请的省级农产品质量安全检测机构考核并发证的，得1分，每未完成一个扣0.2分，最多扣1分。</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snapToGrid w:val="0"/>
              <w:spacing w:line="280" w:lineRule="exact"/>
              <w:jc w:val="left"/>
              <w:rPr>
                <w:rFonts w:ascii="宋体" w:hAnsi="宋体" w:cs="Arial"/>
                <w:kern w:val="0"/>
                <w:sz w:val="20"/>
              </w:rPr>
            </w:pPr>
            <w:r>
              <w:rPr>
                <w:rFonts w:hint="eastAsia" w:ascii="宋体" w:hAnsi="宋体" w:cs="Arial"/>
                <w:kern w:val="0"/>
                <w:sz w:val="20"/>
              </w:rPr>
              <w:t>根据最终出具的考核结果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7"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（五）农产品质量安全风险监测问题发现</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农产品质量安全风险监测问题发现3分。依据各省（区、市）全年农产品质量安全风险监测结果,发现问题品种和指标数量分别达到计划监测品种和指标数量1.5%的得1分,未达到1.5%的得0.8分。每发现1个问题品种和指标并查明问题原因的加0.2分，直至得满3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根据相关文件、通知、总结、报告等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5"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（六）蔬菜、畜禽产品、水产品监测合格率</w:t>
            </w:r>
          </w:p>
        </w:tc>
        <w:tc>
          <w:tcPr>
            <w:tcW w:w="607" w:type="dxa"/>
            <w:vAlign w:val="center"/>
          </w:tcPr>
          <w:p>
            <w:pPr>
              <w:widowControl/>
              <w:jc w:val="center"/>
              <w:rPr>
                <w:rFonts w:ascii="Arial" w:hAnsi="Arial" w:cs="Arial"/>
                <w:kern w:val="0"/>
                <w:sz w:val="20"/>
              </w:rPr>
            </w:pPr>
            <w:r>
              <w:rPr>
                <w:rFonts w:ascii="Arial" w:hAnsi="Arial" w:cs="Arial"/>
                <w:kern w:val="0"/>
                <w:sz w:val="20"/>
              </w:rPr>
              <w:t>4</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蔬菜、畜禽产品、水产品监测合格率分别占1.5、1.5、1分。具体计分如下：蔬菜、畜禽产品和水产品监测合格率分别达到94.5%、98%和93.5%以上的得满分；分档扣分如下：蔬菜监测合格率为92-94.4％的省份扣0.1分；90-91.9％的省份扣0.2分； 89.9％以下的省份扣0.3分。畜禽产品监测合格率为95-97.9％的省份扣0.1分；90-94.9％的省份扣0.2分； 89.9％以下的省份扣0.3分。水产品监测合格率为90-93.4％的省份扣0.1分；85-89.9％的省份扣0.2分；84.9％以下的省份扣0.3分。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根据监测结果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四、推进农业标准化生产</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13</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（一）加快标准落地示范</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加强标准集成转化，制定与国家标准、行业标准相配套的本行业、本区域生产操作规程，制定得1分，未制定不得分。2.引导创建农业标准化生产示范园（区）、示范场（企业、合作社）、示范乡（镇）等，开展工作得2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根据相关通知、文件、规程、通报等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（二）推进生产者按标生产</w:t>
            </w:r>
          </w:p>
        </w:tc>
        <w:tc>
          <w:tcPr>
            <w:tcW w:w="607" w:type="dxa"/>
            <w:vAlign w:val="center"/>
          </w:tcPr>
          <w:p>
            <w:pPr>
              <w:widowControl/>
              <w:jc w:val="center"/>
              <w:rPr>
                <w:rFonts w:ascii="Arial" w:hAnsi="Arial" w:cs="Arial"/>
                <w:kern w:val="0"/>
                <w:sz w:val="20"/>
              </w:rPr>
            </w:pPr>
            <w:r>
              <w:rPr>
                <w:rFonts w:ascii="Arial" w:hAnsi="Arial" w:cs="Arial"/>
                <w:kern w:val="0"/>
                <w:sz w:val="20"/>
              </w:rPr>
              <w:t>4</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引导生产经营单位按标生产。生产经营单位有生产操作规程得1分，没有不得分；按生产操作规程操作得1分，未按操作不得分；按照要求规范记录生产档案的得2分，未规范记录不得分。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根据相关通知、文件、检查报告等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（三）建立完善“三品一标”工作机制</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制定“三品一标”年度工作计划方案，制定得1分，未制定不得分。2.对“三品一标”认证登记实施补贴奖励政策，实施得1分，未实施不得分。3.建立并实施获证产品退出报告机制，建立实施得1分，未建立实施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（四）稳步扩大“三品一标”规模</w:t>
            </w:r>
          </w:p>
        </w:tc>
        <w:tc>
          <w:tcPr>
            <w:tcW w:w="607" w:type="dxa"/>
            <w:vAlign w:val="center"/>
          </w:tcPr>
          <w:p>
            <w:pPr>
              <w:widowControl/>
              <w:jc w:val="center"/>
              <w:rPr>
                <w:rFonts w:ascii="Arial" w:hAnsi="Arial" w:cs="Arial"/>
                <w:kern w:val="0"/>
                <w:sz w:val="20"/>
              </w:rPr>
            </w:pPr>
            <w:r>
              <w:rPr>
                <w:rFonts w:ascii="Arial" w:hAnsi="Arial" w:cs="Arial"/>
                <w:kern w:val="0"/>
                <w:sz w:val="20"/>
              </w:rPr>
              <w:t>1.5</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“三品一标”获证产品数量年增幅保持在6%（含6%）以上的，得1.5分，每少1个百分点（不足1个百分点，按1个百分点计）扣0.25分，扣完为止。</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根据年度总结报表等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（五）“三品一标”产品质量安全稳定可靠</w:t>
            </w:r>
          </w:p>
        </w:tc>
        <w:tc>
          <w:tcPr>
            <w:tcW w:w="607" w:type="dxa"/>
            <w:vAlign w:val="center"/>
          </w:tcPr>
          <w:p>
            <w:pPr>
              <w:widowControl/>
              <w:jc w:val="center"/>
              <w:rPr>
                <w:rFonts w:ascii="Arial" w:hAnsi="Arial" w:cs="Arial"/>
                <w:kern w:val="0"/>
                <w:sz w:val="20"/>
              </w:rPr>
            </w:pPr>
            <w:r>
              <w:rPr>
                <w:rFonts w:ascii="Arial" w:hAnsi="Arial" w:cs="Arial"/>
                <w:kern w:val="0"/>
                <w:sz w:val="20"/>
              </w:rPr>
              <w:t>1.5</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“三品一标”获证产品抽检合格率保持在98%以上，得1.5分，每少1个百分点（不足1个百分点，按1个百分点计）扣0.25分，扣完为止。</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根据结果通报情况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（五）做好农产品质量安全应急处置及风险评估工作</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13</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（一）建立应急处置工作机制</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1.制修订省级农产品质量安全突发事件应急预案，制修订得2分，未制修订不得分。2.建立全天候的农产品质量安全舆情监测、跟踪分析与处置预案，建立得1分，未建立不得分。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根据相关省级预案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（二）建立农产品质量安全风险评估制度</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建立农产品质量安全风险评估制度，依托省内风险评估实验室、实验站开展辖区内农产品质量安全风险评估工作，及时掌握本地风险隐患，开展工作得3分，未开展的不得分。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根据相关总结、报告等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（三）积极开展日常应急处置工作</w:t>
            </w:r>
          </w:p>
        </w:tc>
        <w:tc>
          <w:tcPr>
            <w:tcW w:w="607" w:type="dxa"/>
            <w:vAlign w:val="center"/>
          </w:tcPr>
          <w:p>
            <w:pPr>
              <w:widowControl/>
              <w:jc w:val="center"/>
              <w:rPr>
                <w:rFonts w:ascii="Arial" w:hAnsi="Arial" w:cs="Arial"/>
                <w:kern w:val="0"/>
                <w:sz w:val="20"/>
              </w:rPr>
            </w:pPr>
            <w:r>
              <w:rPr>
                <w:rFonts w:ascii="Arial" w:hAnsi="Arial" w:cs="Arial"/>
                <w:kern w:val="0"/>
                <w:sz w:val="20"/>
              </w:rPr>
              <w:t>4</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加强农产品质量安全舆情事件和突发事件的应急处置能力，开展应急演练及培训得2分，未开展不得分。2.若属地发生舆情事件或突发事件，积极妥善应对，处置妥当的得2分，处置不力的不得分。若属地未发生舆情突发事件，亦得2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根据相关通知、总结、汇报等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（四）畅通交流渠道</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每天按时接收部内发送的舆情快报，及时跟踪相关舆情信息，及时报送属地舆情事件和突发事件的第一手材料，确保信息交流渠道畅通。满分3分，属地舆情事件或突发事件一项未及时报送的扣0.5分，最多扣3分。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根据相关报告、总结等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六、扎实推进国家农产品质量安全县创建</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14</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（一）巩固创建成果</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1.将首批国家农产品质量安全县打造成标准化生产、全程监管、监管体系建设、社会共治的样板区，实施得2分，未实施不得分。2.加强国家农产品质量安全县的监督管理，实行定期考核、动态管理，开展得1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根据相关验收意见、文件、通知、记录档案等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（二）扩大创建范围</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遴选推荐第二批国家农产品质量安全县创建试点单位，加强对创建试点单位的督查指导，督促试点县（市）落实属地管理责任，加大投入力度，创新制度机制，实施全程监管，开展得3分，未开展不得分。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（三）“双安双创”成果展</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按照“双安双创”成果展的要求，按时报送国家农产品质量安全县（市）相关材料，按时报送得3分，未报送或未按时报送不得分。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根据报送统计情况等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（四）加强总结推广</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充分发挥国家农产品质量安全县的示范引领作用，及时总结推广创建的好经验、好做法，加大农产品质量安全县创建活动的宣传力度。进行宣传推广的得2分，未宣传推广的不得分。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根据宣传报道情况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7"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（五）开展省级创建</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各省（区、市）分层次、分步骤组织开展农产品质量安全县创建活动，在国家农产品质量安全县创建活动的基础上，积极开展本省（区、市）的创建活动，整体提升农产品质量安全监管能力和水平。开展本省（区、市）农产品质量安全县创建工作的得3分，未开展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根据相关文件、通知、通报等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七、加强农产品质量安全监管体系建设</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7</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（一）加强市县级监管机构建设</w:t>
            </w:r>
          </w:p>
        </w:tc>
        <w:tc>
          <w:tcPr>
            <w:tcW w:w="607" w:type="dxa"/>
            <w:vAlign w:val="center"/>
          </w:tcPr>
          <w:p>
            <w:pPr>
              <w:widowControl/>
              <w:jc w:val="center"/>
              <w:rPr>
                <w:rFonts w:ascii="Arial" w:hAnsi="Arial" w:cs="Arial"/>
                <w:kern w:val="0"/>
                <w:sz w:val="20"/>
              </w:rPr>
            </w:pPr>
            <w:r>
              <w:rPr>
                <w:rFonts w:ascii="Arial" w:hAnsi="Arial" w:cs="Arial"/>
                <w:kern w:val="0"/>
                <w:sz w:val="20"/>
              </w:rPr>
              <w:t>3</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经编办批准设立地市级监管机构达到95%以上的得1分，90-95%得0.5分，90%以下不得分；经编办批准设立县级监管机构达到90%以上得2分，80-89%得1分，80%以下不得分。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根据相关文件、通知、通报等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（二）普及乡镇监管机构建设</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涉农乡镇农产品质量安全监管机构建设率达到100%得2分，95%以上得1分，95%以下不得分。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根据相关文件、通知、通报等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（三）推进村级监管员队伍建设</w:t>
            </w:r>
          </w:p>
        </w:tc>
        <w:tc>
          <w:tcPr>
            <w:tcW w:w="607" w:type="dxa"/>
            <w:vAlign w:val="center"/>
          </w:tcPr>
          <w:p>
            <w:pPr>
              <w:widowControl/>
              <w:jc w:val="center"/>
              <w:rPr>
                <w:rFonts w:ascii="Arial" w:hAnsi="Arial" w:cs="Arial"/>
                <w:kern w:val="0"/>
                <w:sz w:val="20"/>
              </w:rPr>
            </w:pPr>
            <w:r>
              <w:rPr>
                <w:rFonts w:ascii="Arial" w:hAnsi="Arial" w:cs="Arial"/>
                <w:kern w:val="0"/>
                <w:sz w:val="20"/>
              </w:rPr>
              <w:t>1</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推进村级监管员队伍建设的得1分，未推进的不得分。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根据相关文件、通知、通报等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（四）加强培训</w:t>
            </w:r>
          </w:p>
        </w:tc>
        <w:tc>
          <w:tcPr>
            <w:tcW w:w="607" w:type="dxa"/>
            <w:vAlign w:val="center"/>
          </w:tcPr>
          <w:p>
            <w:pPr>
              <w:widowControl/>
              <w:jc w:val="center"/>
              <w:rPr>
                <w:rFonts w:ascii="Arial" w:hAnsi="Arial" w:cs="Arial"/>
                <w:kern w:val="0"/>
                <w:sz w:val="20"/>
              </w:rPr>
            </w:pPr>
            <w:r>
              <w:rPr>
                <w:rFonts w:ascii="Arial" w:hAnsi="Arial" w:cs="Arial"/>
                <w:kern w:val="0"/>
                <w:sz w:val="20"/>
              </w:rPr>
              <w:t>1</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开展农产品质量安全培训的得1分，未开展的不得分。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根据相关文件、通知、通报等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八、加大宣传力度</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4</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（一）放心农资下乡进村宣传</w:t>
            </w:r>
          </w:p>
        </w:tc>
        <w:tc>
          <w:tcPr>
            <w:tcW w:w="607" w:type="dxa"/>
            <w:vAlign w:val="center"/>
          </w:tcPr>
          <w:p>
            <w:pPr>
              <w:widowControl/>
              <w:jc w:val="center"/>
              <w:rPr>
                <w:rFonts w:ascii="Arial" w:hAnsi="Arial" w:cs="Arial"/>
                <w:kern w:val="0"/>
                <w:sz w:val="20"/>
              </w:rPr>
            </w:pPr>
            <w:r>
              <w:rPr>
                <w:rFonts w:ascii="Arial" w:hAnsi="Arial" w:cs="Arial"/>
                <w:kern w:val="0"/>
                <w:sz w:val="20"/>
              </w:rPr>
              <w:t>1</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开展放心农资下乡进村宣传周活动得1分，未开展不得分。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以宣传周或现场咨询活动通知为准。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（二）开展农产品质量安全宣传</w:t>
            </w:r>
          </w:p>
        </w:tc>
        <w:tc>
          <w:tcPr>
            <w:tcW w:w="607" w:type="dxa"/>
            <w:vAlign w:val="center"/>
          </w:tcPr>
          <w:p>
            <w:pPr>
              <w:widowControl/>
              <w:jc w:val="center"/>
              <w:rPr>
                <w:rFonts w:ascii="Arial" w:hAnsi="Arial" w:cs="Arial"/>
                <w:kern w:val="0"/>
                <w:sz w:val="20"/>
              </w:rPr>
            </w:pPr>
            <w:r>
              <w:rPr>
                <w:rFonts w:ascii="Arial" w:hAnsi="Arial" w:cs="Arial"/>
                <w:kern w:val="0"/>
                <w:sz w:val="20"/>
              </w:rPr>
              <w:t>1</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开展1次农产品质量安全工作宣传报道活动得0.2分，最多得1分。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根据宣传报道情况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（三）加强科普解读宣传</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将应急处置端口前移，依托专家及媒体开展农产品质量安全科普宣传，开展得2分，未开展的不得分。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根据宣传报道情况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blHeader/>
        </w:trPr>
        <w:tc>
          <w:tcPr>
            <w:tcW w:w="1276" w:type="dxa"/>
            <w:vMerge w:val="restart"/>
            <w:vAlign w:val="center"/>
          </w:tcPr>
          <w:p>
            <w:pPr>
              <w:widowControl/>
              <w:jc w:val="left"/>
              <w:rPr>
                <w:rFonts w:ascii="宋体" w:hAnsi="宋体" w:cs="Arial"/>
                <w:kern w:val="0"/>
                <w:sz w:val="20"/>
              </w:rPr>
            </w:pPr>
            <w:r>
              <w:rPr>
                <w:rFonts w:hint="eastAsia" w:ascii="宋体" w:hAnsi="宋体" w:cs="Arial"/>
                <w:kern w:val="0"/>
                <w:sz w:val="20"/>
              </w:rPr>
              <w:t>九、加分项</w:t>
            </w:r>
          </w:p>
        </w:tc>
        <w:tc>
          <w:tcPr>
            <w:tcW w:w="582" w:type="dxa"/>
            <w:vMerge w:val="restart"/>
            <w:vAlign w:val="center"/>
          </w:tcPr>
          <w:p>
            <w:pPr>
              <w:widowControl/>
              <w:jc w:val="center"/>
              <w:rPr>
                <w:rFonts w:ascii="Arial" w:hAnsi="Arial" w:cs="Arial"/>
                <w:kern w:val="0"/>
                <w:sz w:val="20"/>
              </w:rPr>
            </w:pPr>
            <w:r>
              <w:rPr>
                <w:rFonts w:ascii="Arial" w:hAnsi="Arial" w:cs="Arial"/>
                <w:kern w:val="0"/>
                <w:sz w:val="20"/>
              </w:rPr>
              <w:t>6</w:t>
            </w:r>
          </w:p>
        </w:tc>
        <w:tc>
          <w:tcPr>
            <w:tcW w:w="1341" w:type="dxa"/>
            <w:vAlign w:val="center"/>
          </w:tcPr>
          <w:p>
            <w:pPr>
              <w:widowControl/>
              <w:jc w:val="left"/>
              <w:rPr>
                <w:rFonts w:ascii="宋体" w:hAnsi="宋体" w:cs="Arial"/>
                <w:kern w:val="0"/>
                <w:sz w:val="20"/>
              </w:rPr>
            </w:pPr>
            <w:r>
              <w:rPr>
                <w:rFonts w:hint="eastAsia" w:ascii="宋体" w:hAnsi="宋体" w:cs="Arial"/>
                <w:kern w:val="0"/>
                <w:sz w:val="20"/>
              </w:rPr>
              <w:t>（一）经费保障</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农产品质量安全经费比上一年度每增加一个百分点加0.1分，最多加2分。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（二）监督抽查</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监督抽查工作中发现含有禁限用物质不合格样品超过10个的，每个加0.1分，最多加2分。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根据相关文件、通知、检查记录、记录档案、总结、移交单等，并参考纪检部门、举报和舆情信息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8" w:hRule="atLeast"/>
          <w:tblHeader/>
        </w:trPr>
        <w:tc>
          <w:tcPr>
            <w:tcW w:w="1276" w:type="dxa"/>
            <w:vMerge w:val="continue"/>
            <w:vAlign w:val="center"/>
          </w:tcPr>
          <w:p>
            <w:pPr>
              <w:widowControl/>
              <w:jc w:val="left"/>
              <w:rPr>
                <w:rFonts w:ascii="宋体" w:hAnsi="宋体" w:cs="Arial"/>
                <w:kern w:val="0"/>
                <w:sz w:val="20"/>
              </w:rPr>
            </w:pPr>
          </w:p>
        </w:tc>
        <w:tc>
          <w:tcPr>
            <w:tcW w:w="582" w:type="dxa"/>
            <w:vMerge w:val="continue"/>
            <w:vAlign w:val="center"/>
          </w:tcPr>
          <w:p>
            <w:pPr>
              <w:widowControl/>
              <w:jc w:val="left"/>
              <w:rPr>
                <w:rFonts w:ascii="Arial" w:hAnsi="Arial" w:cs="Arial"/>
                <w:kern w:val="0"/>
                <w:sz w:val="20"/>
              </w:rPr>
            </w:pPr>
          </w:p>
        </w:tc>
        <w:tc>
          <w:tcPr>
            <w:tcW w:w="1341" w:type="dxa"/>
            <w:vAlign w:val="center"/>
          </w:tcPr>
          <w:p>
            <w:pPr>
              <w:widowControl/>
              <w:jc w:val="left"/>
              <w:rPr>
                <w:rFonts w:ascii="宋体" w:hAnsi="宋体" w:cs="Arial"/>
                <w:kern w:val="0"/>
                <w:sz w:val="20"/>
              </w:rPr>
            </w:pPr>
            <w:r>
              <w:rPr>
                <w:rFonts w:hint="eastAsia" w:ascii="宋体" w:hAnsi="宋体" w:cs="Arial"/>
                <w:kern w:val="0"/>
                <w:sz w:val="20"/>
              </w:rPr>
              <w:t>（三）执法办案</w:t>
            </w:r>
          </w:p>
        </w:tc>
        <w:tc>
          <w:tcPr>
            <w:tcW w:w="607" w:type="dxa"/>
            <w:vAlign w:val="center"/>
          </w:tcPr>
          <w:p>
            <w:pPr>
              <w:widowControl/>
              <w:jc w:val="center"/>
              <w:rPr>
                <w:rFonts w:ascii="Arial" w:hAnsi="Arial" w:cs="Arial"/>
                <w:kern w:val="0"/>
                <w:sz w:val="20"/>
              </w:rPr>
            </w:pPr>
            <w:r>
              <w:rPr>
                <w:rFonts w:ascii="Arial" w:hAnsi="Arial" w:cs="Arial"/>
                <w:kern w:val="0"/>
                <w:sz w:val="20"/>
              </w:rPr>
              <w:t>2</w:t>
            </w:r>
          </w:p>
        </w:tc>
        <w:tc>
          <w:tcPr>
            <w:tcW w:w="5948" w:type="dxa"/>
            <w:vAlign w:val="center"/>
          </w:tcPr>
          <w:p>
            <w:pPr>
              <w:widowControl/>
              <w:jc w:val="left"/>
              <w:rPr>
                <w:rFonts w:ascii="宋体" w:hAnsi="宋体" w:cs="Arial"/>
                <w:kern w:val="0"/>
                <w:sz w:val="20"/>
              </w:rPr>
            </w:pPr>
            <w:r>
              <w:rPr>
                <w:rFonts w:hint="eastAsia" w:ascii="宋体" w:hAnsi="宋体" w:cs="Arial"/>
                <w:kern w:val="0"/>
                <w:sz w:val="20"/>
              </w:rPr>
              <w:t>移送司法机关并在司法机关立案的农产品质量安全案件（不包括农资打假类）数超过5个的，每个案件加0.2分，最多加2分。</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63" w:type="dxa"/>
            <w:vAlign w:val="center"/>
          </w:tcPr>
          <w:p>
            <w:pPr>
              <w:widowControl/>
              <w:jc w:val="left"/>
              <w:rPr>
                <w:rFonts w:ascii="宋体" w:hAnsi="宋体" w:cs="Arial"/>
                <w:kern w:val="0"/>
                <w:sz w:val="20"/>
              </w:rPr>
            </w:pPr>
            <w:r>
              <w:rPr>
                <w:rFonts w:hint="eastAsia" w:ascii="宋体" w:hAnsi="宋体" w:cs="Arial"/>
                <w:kern w:val="0"/>
                <w:sz w:val="20"/>
              </w:rPr>
              <w:t>　</w:t>
            </w:r>
          </w:p>
        </w:tc>
        <w:tc>
          <w:tcPr>
            <w:tcW w:w="440" w:type="dxa"/>
            <w:vAlign w:val="center"/>
          </w:tcPr>
          <w:p>
            <w:pPr>
              <w:widowControl/>
              <w:jc w:val="left"/>
              <w:rPr>
                <w:rFonts w:ascii="宋体" w:hAnsi="宋体" w:cs="Arial"/>
                <w:kern w:val="0"/>
                <w:sz w:val="20"/>
              </w:rPr>
            </w:pPr>
            <w:r>
              <w:rPr>
                <w:rFonts w:hint="eastAsia" w:ascii="宋体" w:hAnsi="宋体" w:cs="Arial"/>
                <w:kern w:val="0"/>
                <w:sz w:val="20"/>
              </w:rPr>
              <w:t>　</w:t>
            </w:r>
          </w:p>
        </w:tc>
        <w:tc>
          <w:tcPr>
            <w:tcW w:w="486" w:type="dxa"/>
            <w:vAlign w:val="center"/>
          </w:tcPr>
          <w:p>
            <w:pPr>
              <w:widowControl/>
              <w:jc w:val="left"/>
              <w:rPr>
                <w:rFonts w:ascii="宋体" w:hAnsi="宋体" w:cs="Arial"/>
                <w:kern w:val="0"/>
                <w:sz w:val="20"/>
              </w:rPr>
            </w:pPr>
            <w:r>
              <w:rPr>
                <w:rFonts w:hint="eastAsia" w:ascii="宋体" w:hAnsi="宋体" w:cs="Arial"/>
                <w:kern w:val="0"/>
                <w:sz w:val="20"/>
              </w:rPr>
              <w:t>　</w:t>
            </w:r>
          </w:p>
        </w:tc>
        <w:tc>
          <w:tcPr>
            <w:tcW w:w="2474" w:type="dxa"/>
            <w:vAlign w:val="center"/>
          </w:tcPr>
          <w:p>
            <w:pPr>
              <w:widowControl/>
              <w:jc w:val="left"/>
              <w:rPr>
                <w:rFonts w:ascii="宋体" w:hAnsi="宋体" w:cs="Arial"/>
                <w:kern w:val="0"/>
                <w:sz w:val="20"/>
              </w:rPr>
            </w:pPr>
            <w:r>
              <w:rPr>
                <w:rFonts w:hint="eastAsia" w:ascii="宋体" w:hAnsi="宋体" w:cs="Arial"/>
                <w:kern w:val="0"/>
                <w:sz w:val="20"/>
              </w:rPr>
              <w:t>根据相关文件、通知、检查记录、记录档案、总结、移交单等，并参考纪检部门、举报和舆情信息</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25DAD"/>
    <w:rsid w:val="43E2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2018-01-02T06:12:00Z</dcterms:created>
  <dc:creator>踮脚、慕爱</dc:creator>
  <cp:lastModifiedBy>踮脚、慕爱</cp:lastModifiedBy>
  <dcterms:modified xsi:type="dcterms:W3CDTF">2018-01-02T06:12:46Z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